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FC6F1F" w14:textId="77777777" w:rsidR="00480449" w:rsidRPr="00125AE7" w:rsidRDefault="00480449" w:rsidP="00655C48">
      <w:pPr>
        <w:jc w:val="center"/>
        <w:rPr>
          <w:rFonts w:ascii="Cambria" w:hAnsi="Cambria"/>
          <w:b/>
        </w:rPr>
      </w:pPr>
      <w:bookmarkStart w:id="0" w:name="_GoBack"/>
      <w:bookmarkEnd w:id="0"/>
      <w:r w:rsidRPr="00125AE7">
        <w:rPr>
          <w:rFonts w:ascii="Cambria" w:hAnsi="Cambria"/>
          <w:b/>
        </w:rPr>
        <w:t>Campaign for a New Drug Policy</w:t>
      </w:r>
    </w:p>
    <w:p w14:paraId="413FE56F" w14:textId="77777777" w:rsidR="00953383" w:rsidRPr="00125AE7" w:rsidRDefault="00953383" w:rsidP="00125AE7">
      <w:pPr>
        <w:jc w:val="center"/>
        <w:rPr>
          <w:rFonts w:ascii="Cambria" w:hAnsi="Cambria"/>
          <w:b/>
        </w:rPr>
      </w:pPr>
      <w:r w:rsidRPr="00125AE7">
        <w:rPr>
          <w:rFonts w:ascii="Cambria" w:hAnsi="Cambria"/>
          <w:b/>
        </w:rPr>
        <w:t>U.S. Programs</w:t>
      </w:r>
    </w:p>
    <w:p w14:paraId="4B519FD3" w14:textId="77777777" w:rsidR="006379DA" w:rsidRPr="00125AE7" w:rsidRDefault="006379DA" w:rsidP="00125AE7">
      <w:pPr>
        <w:rPr>
          <w:rFonts w:ascii="Cambria" w:hAnsi="Cambria"/>
          <w:b/>
        </w:rPr>
      </w:pPr>
    </w:p>
    <w:p w14:paraId="156D4CF4" w14:textId="77777777" w:rsidR="006379DA" w:rsidRPr="00125AE7" w:rsidRDefault="006379DA" w:rsidP="00125AE7">
      <w:pPr>
        <w:jc w:val="center"/>
        <w:rPr>
          <w:rFonts w:ascii="Cambria" w:hAnsi="Cambria"/>
          <w:b/>
        </w:rPr>
      </w:pPr>
      <w:r w:rsidRPr="00125AE7">
        <w:rPr>
          <w:rFonts w:ascii="Cambria" w:hAnsi="Cambria"/>
          <w:b/>
        </w:rPr>
        <w:t>Portfolio Review</w:t>
      </w:r>
    </w:p>
    <w:p w14:paraId="1D2DE451" w14:textId="77777777" w:rsidR="005D4162" w:rsidRPr="00125AE7" w:rsidRDefault="006379DA" w:rsidP="00125AE7">
      <w:pPr>
        <w:jc w:val="center"/>
        <w:rPr>
          <w:rFonts w:ascii="Cambria" w:hAnsi="Cambria"/>
          <w:b/>
        </w:rPr>
      </w:pPr>
      <w:r w:rsidRPr="00125AE7">
        <w:rPr>
          <w:rFonts w:ascii="Cambria" w:hAnsi="Cambria"/>
          <w:b/>
        </w:rPr>
        <w:t xml:space="preserve">April 22, </w:t>
      </w:r>
      <w:r w:rsidR="00953383" w:rsidRPr="00125AE7">
        <w:rPr>
          <w:rFonts w:ascii="Cambria" w:hAnsi="Cambria"/>
          <w:b/>
        </w:rPr>
        <w:t xml:space="preserve">2014 </w:t>
      </w:r>
    </w:p>
    <w:p w14:paraId="049CA955" w14:textId="77777777" w:rsidR="004D0667" w:rsidRPr="00125AE7" w:rsidRDefault="004D0667" w:rsidP="00125AE7">
      <w:pPr>
        <w:jc w:val="center"/>
        <w:rPr>
          <w:rFonts w:ascii="Cambria" w:hAnsi="Cambria"/>
          <w:b/>
        </w:rPr>
      </w:pPr>
    </w:p>
    <w:p w14:paraId="0918D44F" w14:textId="77777777" w:rsidR="00DE56EF" w:rsidRPr="00125AE7" w:rsidRDefault="00EA0A55" w:rsidP="00125AE7">
      <w:pPr>
        <w:rPr>
          <w:rFonts w:ascii="Cambria" w:hAnsi="Cambria"/>
          <w:b/>
        </w:rPr>
      </w:pPr>
      <w:r w:rsidRPr="00125AE7">
        <w:rPr>
          <w:rFonts w:ascii="Cambria" w:hAnsi="Cambria"/>
          <w:b/>
        </w:rPr>
        <w:t>OVERVIEW</w:t>
      </w:r>
      <w:r w:rsidR="00E86FF7">
        <w:rPr>
          <w:rFonts w:ascii="Cambria" w:hAnsi="Cambria"/>
          <w:b/>
        </w:rPr>
        <w:t xml:space="preserve"> OF CNDP</w:t>
      </w:r>
    </w:p>
    <w:p w14:paraId="1895978B" w14:textId="77777777" w:rsidR="00750621" w:rsidRPr="00125AE7" w:rsidRDefault="00750621" w:rsidP="00125AE7">
      <w:pPr>
        <w:jc w:val="center"/>
        <w:rPr>
          <w:rFonts w:ascii="Cambria" w:hAnsi="Cambria"/>
        </w:rPr>
      </w:pPr>
    </w:p>
    <w:p w14:paraId="3DE375DB" w14:textId="77777777" w:rsidR="00EF12CE" w:rsidRPr="00125AE7" w:rsidRDefault="00750621" w:rsidP="00125AE7">
      <w:pPr>
        <w:rPr>
          <w:rFonts w:ascii="Cambria" w:hAnsi="Cambria"/>
        </w:rPr>
      </w:pPr>
      <w:r w:rsidRPr="00125AE7">
        <w:rPr>
          <w:rFonts w:ascii="Cambria" w:hAnsi="Cambria"/>
        </w:rPr>
        <w:t xml:space="preserve">The Campaign for a New Drug Policy </w:t>
      </w:r>
      <w:r w:rsidR="00EF12CE" w:rsidRPr="00125AE7">
        <w:rPr>
          <w:rFonts w:ascii="Cambria" w:hAnsi="Cambria"/>
        </w:rPr>
        <w:t xml:space="preserve">(CNDP) </w:t>
      </w:r>
      <w:r w:rsidR="002D17DC" w:rsidRPr="00125AE7">
        <w:rPr>
          <w:rFonts w:ascii="Cambria" w:hAnsi="Cambria"/>
        </w:rPr>
        <w:t xml:space="preserve">is staffed </w:t>
      </w:r>
      <w:r w:rsidR="005D4162" w:rsidRPr="00125AE7">
        <w:rPr>
          <w:rFonts w:ascii="Cambria" w:hAnsi="Cambria"/>
        </w:rPr>
        <w:t xml:space="preserve">to pursue an alternative </w:t>
      </w:r>
      <w:r w:rsidRPr="00125AE7">
        <w:rPr>
          <w:rFonts w:ascii="Cambria" w:hAnsi="Cambria"/>
        </w:rPr>
        <w:t>response to drug use and drug markets in the United States</w:t>
      </w:r>
      <w:r w:rsidR="00780BD5" w:rsidRPr="00125AE7">
        <w:rPr>
          <w:rFonts w:ascii="Cambria" w:hAnsi="Cambria"/>
        </w:rPr>
        <w:t xml:space="preserve">. </w:t>
      </w:r>
      <w:r w:rsidR="00EF12CE" w:rsidRPr="00125AE7">
        <w:rPr>
          <w:rFonts w:ascii="Cambria" w:hAnsi="Cambria"/>
        </w:rPr>
        <w:t>Its overall purpose is to establish a</w:t>
      </w:r>
      <w:r w:rsidR="00EA0A55" w:rsidRPr="00125AE7">
        <w:rPr>
          <w:rFonts w:ascii="Cambria" w:hAnsi="Cambria"/>
        </w:rPr>
        <w:t xml:space="preserve"> new</w:t>
      </w:r>
      <w:r w:rsidR="00EF12CE" w:rsidRPr="00125AE7">
        <w:rPr>
          <w:rFonts w:ascii="Cambria" w:hAnsi="Cambria"/>
        </w:rPr>
        <w:t xml:space="preserve"> paradigm for U.S. drug policy that addresses actual harm to individuals and communities, promotes health and social stability, ensures public safety and justice, and advances equality and the freedoms of an open society. </w:t>
      </w:r>
    </w:p>
    <w:p w14:paraId="5A2D1B8A" w14:textId="77777777" w:rsidR="00EF12CE" w:rsidRPr="00125AE7" w:rsidRDefault="00EF12CE" w:rsidP="00125AE7">
      <w:pPr>
        <w:rPr>
          <w:rFonts w:ascii="Cambria" w:hAnsi="Cambria"/>
        </w:rPr>
      </w:pPr>
    </w:p>
    <w:p w14:paraId="0F8653D4" w14:textId="77777777" w:rsidR="00EF12CE" w:rsidRPr="00125AE7" w:rsidRDefault="00837398" w:rsidP="00125AE7">
      <w:pPr>
        <w:rPr>
          <w:rFonts w:ascii="Cambria" w:hAnsi="Cambria"/>
        </w:rPr>
      </w:pPr>
      <w:r>
        <w:rPr>
          <w:rFonts w:ascii="Cambria" w:hAnsi="Cambria"/>
        </w:rPr>
        <w:t>Our staff</w:t>
      </w:r>
      <w:r w:rsidR="00E86FF7">
        <w:rPr>
          <w:rFonts w:ascii="Cambria" w:hAnsi="Cambria"/>
        </w:rPr>
        <w:t xml:space="preserve"> </w:t>
      </w:r>
      <w:r w:rsidR="006066BA">
        <w:rPr>
          <w:rFonts w:ascii="Cambria" w:hAnsi="Cambria"/>
        </w:rPr>
        <w:t>interacts</w:t>
      </w:r>
      <w:r w:rsidR="00EF12CE" w:rsidRPr="00125AE7">
        <w:rPr>
          <w:rFonts w:ascii="Cambria" w:hAnsi="Cambria"/>
        </w:rPr>
        <w:t xml:space="preserve"> </w:t>
      </w:r>
      <w:r w:rsidR="00EA0A55" w:rsidRPr="00125AE7">
        <w:rPr>
          <w:rFonts w:ascii="Cambria" w:hAnsi="Cambria"/>
        </w:rPr>
        <w:t xml:space="preserve">with </w:t>
      </w:r>
      <w:r w:rsidR="005413AE" w:rsidRPr="00125AE7">
        <w:rPr>
          <w:rFonts w:ascii="Cambria" w:hAnsi="Cambria"/>
        </w:rPr>
        <w:t xml:space="preserve">a </w:t>
      </w:r>
      <w:r w:rsidR="006066BA">
        <w:rPr>
          <w:rFonts w:ascii="Cambria" w:hAnsi="Cambria"/>
        </w:rPr>
        <w:t>composite</w:t>
      </w:r>
      <w:r w:rsidR="005413AE" w:rsidRPr="00125AE7">
        <w:rPr>
          <w:rFonts w:ascii="Cambria" w:hAnsi="Cambria"/>
        </w:rPr>
        <w:t xml:space="preserve"> field </w:t>
      </w:r>
      <w:r w:rsidR="00A22A0E" w:rsidRPr="00113ADE">
        <w:rPr>
          <w:rFonts w:ascii="Cambria" w:hAnsi="Cambria"/>
        </w:rPr>
        <w:t>of</w:t>
      </w:r>
      <w:r w:rsidR="005413AE" w:rsidRPr="00125AE7">
        <w:rPr>
          <w:rFonts w:ascii="Cambria" w:hAnsi="Cambria"/>
        </w:rPr>
        <w:t xml:space="preserve"> individuals and </w:t>
      </w:r>
      <w:r w:rsidR="001E46D4" w:rsidRPr="00125AE7">
        <w:rPr>
          <w:rFonts w:ascii="Cambria" w:hAnsi="Cambria"/>
        </w:rPr>
        <w:t>groups working</w:t>
      </w:r>
      <w:r w:rsidR="006066BA">
        <w:rPr>
          <w:rFonts w:ascii="Cambria" w:hAnsi="Cambria"/>
        </w:rPr>
        <w:t xml:space="preserve"> in the areas of </w:t>
      </w:r>
      <w:r w:rsidR="000C56EB" w:rsidRPr="00125AE7">
        <w:rPr>
          <w:rFonts w:ascii="Cambria" w:hAnsi="Cambria"/>
        </w:rPr>
        <w:t>criminal justice</w:t>
      </w:r>
      <w:r w:rsidR="00EA0A55" w:rsidRPr="00125AE7">
        <w:rPr>
          <w:rFonts w:ascii="Cambria" w:hAnsi="Cambria"/>
        </w:rPr>
        <w:t xml:space="preserve"> and law enforcement</w:t>
      </w:r>
      <w:r w:rsidR="000C56EB" w:rsidRPr="00125AE7">
        <w:rPr>
          <w:rFonts w:ascii="Cambria" w:hAnsi="Cambria"/>
        </w:rPr>
        <w:t>, health care</w:t>
      </w:r>
      <w:r w:rsidR="00EA0A55" w:rsidRPr="00125AE7">
        <w:rPr>
          <w:rFonts w:ascii="Cambria" w:hAnsi="Cambria"/>
        </w:rPr>
        <w:t xml:space="preserve"> and</w:t>
      </w:r>
      <w:r w:rsidR="000C56EB" w:rsidRPr="00125AE7">
        <w:rPr>
          <w:rFonts w:ascii="Cambria" w:hAnsi="Cambria"/>
        </w:rPr>
        <w:t xml:space="preserve"> public health, civil rights</w:t>
      </w:r>
      <w:r w:rsidR="00EA0A55" w:rsidRPr="00125AE7">
        <w:rPr>
          <w:rFonts w:ascii="Cambria" w:hAnsi="Cambria"/>
        </w:rPr>
        <w:t xml:space="preserve"> and </w:t>
      </w:r>
      <w:r w:rsidR="000C56EB" w:rsidRPr="00125AE7">
        <w:rPr>
          <w:rFonts w:ascii="Cambria" w:hAnsi="Cambria"/>
        </w:rPr>
        <w:t>civil liberties, racial justice, harm reduction</w:t>
      </w:r>
      <w:r w:rsidR="005413AE" w:rsidRPr="00125AE7">
        <w:rPr>
          <w:rFonts w:ascii="Cambria" w:hAnsi="Cambria"/>
        </w:rPr>
        <w:t xml:space="preserve"> services</w:t>
      </w:r>
      <w:r w:rsidR="000C56EB" w:rsidRPr="00125AE7">
        <w:rPr>
          <w:rFonts w:ascii="Cambria" w:hAnsi="Cambria"/>
        </w:rPr>
        <w:t xml:space="preserve"> </w:t>
      </w:r>
      <w:r w:rsidR="00B61374">
        <w:rPr>
          <w:rFonts w:ascii="Cambria" w:hAnsi="Cambria"/>
        </w:rPr>
        <w:t xml:space="preserve">and policy, </w:t>
      </w:r>
      <w:r w:rsidR="00B61374" w:rsidRPr="00900550">
        <w:rPr>
          <w:rFonts w:ascii="Cambria" w:hAnsi="Cambria"/>
        </w:rPr>
        <w:t xml:space="preserve">social services, </w:t>
      </w:r>
      <w:r w:rsidR="000C56EB" w:rsidRPr="00125AE7">
        <w:rPr>
          <w:rFonts w:ascii="Cambria" w:hAnsi="Cambria"/>
        </w:rPr>
        <w:t>and</w:t>
      </w:r>
      <w:r w:rsidR="00324E22" w:rsidRPr="00125AE7">
        <w:rPr>
          <w:rFonts w:ascii="Cambria" w:hAnsi="Cambria"/>
        </w:rPr>
        <w:t xml:space="preserve"> </w:t>
      </w:r>
      <w:r w:rsidR="000C56EB" w:rsidRPr="00125AE7">
        <w:rPr>
          <w:rFonts w:ascii="Cambria" w:hAnsi="Cambria"/>
        </w:rPr>
        <w:t>drug</w:t>
      </w:r>
      <w:r w:rsidR="005413AE" w:rsidRPr="00125AE7">
        <w:rPr>
          <w:rFonts w:ascii="Cambria" w:hAnsi="Cambria"/>
        </w:rPr>
        <w:t xml:space="preserve"> policy reform</w:t>
      </w:r>
      <w:r w:rsidR="00EA0A55" w:rsidRPr="00125AE7">
        <w:rPr>
          <w:rFonts w:ascii="Cambria" w:hAnsi="Cambria"/>
        </w:rPr>
        <w:t xml:space="preserve">.  </w:t>
      </w:r>
      <w:r w:rsidR="00517330" w:rsidRPr="00125AE7">
        <w:rPr>
          <w:rFonts w:ascii="Cambria" w:hAnsi="Cambria"/>
        </w:rPr>
        <w:t>Grantmaking</w:t>
      </w:r>
      <w:r w:rsidR="005413AE" w:rsidRPr="00125AE7">
        <w:rPr>
          <w:rFonts w:ascii="Cambria" w:hAnsi="Cambria"/>
        </w:rPr>
        <w:t xml:space="preserve">, </w:t>
      </w:r>
      <w:r w:rsidR="005E78F6" w:rsidRPr="00125AE7">
        <w:rPr>
          <w:rFonts w:ascii="Cambria" w:hAnsi="Cambria"/>
        </w:rPr>
        <w:t xml:space="preserve">both in support of the field and in pursuit of foundation </w:t>
      </w:r>
      <w:r w:rsidR="00324E22" w:rsidRPr="00125AE7">
        <w:rPr>
          <w:rFonts w:ascii="Cambria" w:hAnsi="Cambria"/>
        </w:rPr>
        <w:t>initiated work</w:t>
      </w:r>
      <w:r w:rsidR="005E78F6" w:rsidRPr="00125AE7">
        <w:rPr>
          <w:rFonts w:ascii="Cambria" w:hAnsi="Cambria"/>
        </w:rPr>
        <w:t xml:space="preserve">, is a core aspect of the campaign’s </w:t>
      </w:r>
      <w:r w:rsidR="00B61374">
        <w:rPr>
          <w:rFonts w:ascii="Cambria" w:hAnsi="Cambria"/>
        </w:rPr>
        <w:t>strategy</w:t>
      </w:r>
      <w:r w:rsidR="005E78F6" w:rsidRPr="00125AE7">
        <w:rPr>
          <w:rFonts w:ascii="Cambria" w:hAnsi="Cambria"/>
        </w:rPr>
        <w:t xml:space="preserve">.  But, equally important and work intensive is our </w:t>
      </w:r>
      <w:r w:rsidR="005413AE" w:rsidRPr="00125AE7">
        <w:rPr>
          <w:rFonts w:ascii="Cambria" w:hAnsi="Cambria"/>
        </w:rPr>
        <w:t xml:space="preserve">direct engagement in the field </w:t>
      </w:r>
      <w:r w:rsidR="005E78F6" w:rsidRPr="00125AE7">
        <w:rPr>
          <w:rFonts w:ascii="Cambria" w:hAnsi="Cambria"/>
        </w:rPr>
        <w:t xml:space="preserve">to drive solutions-based </w:t>
      </w:r>
      <w:r w:rsidR="00A22A0E" w:rsidRPr="00113ADE">
        <w:rPr>
          <w:rFonts w:ascii="Cambria" w:hAnsi="Cambria"/>
        </w:rPr>
        <w:t xml:space="preserve">reform </w:t>
      </w:r>
      <w:r w:rsidR="005E78F6" w:rsidRPr="00125AE7">
        <w:rPr>
          <w:rFonts w:ascii="Cambria" w:hAnsi="Cambria"/>
        </w:rPr>
        <w:t xml:space="preserve">and </w:t>
      </w:r>
      <w:r w:rsidR="00A22A0E" w:rsidRPr="00113ADE">
        <w:rPr>
          <w:rFonts w:ascii="Cambria" w:hAnsi="Cambria"/>
        </w:rPr>
        <w:t xml:space="preserve">development </w:t>
      </w:r>
      <w:r w:rsidR="005E78F6" w:rsidRPr="00125AE7">
        <w:rPr>
          <w:rFonts w:ascii="Cambria" w:hAnsi="Cambria"/>
        </w:rPr>
        <w:t xml:space="preserve">of </w:t>
      </w:r>
      <w:r w:rsidR="00A22A0E" w:rsidRPr="00113ADE">
        <w:rPr>
          <w:rFonts w:ascii="Cambria" w:hAnsi="Cambria"/>
        </w:rPr>
        <w:t>an</w:t>
      </w:r>
      <w:r w:rsidR="005E78F6" w:rsidRPr="00125AE7">
        <w:rPr>
          <w:rFonts w:ascii="Cambria" w:hAnsi="Cambria"/>
        </w:rPr>
        <w:t xml:space="preserve"> infrastructure for a </w:t>
      </w:r>
      <w:r w:rsidR="00324E22" w:rsidRPr="00125AE7">
        <w:rPr>
          <w:rFonts w:ascii="Cambria" w:hAnsi="Cambria"/>
        </w:rPr>
        <w:t>health</w:t>
      </w:r>
      <w:r w:rsidR="00A22A0E" w:rsidRPr="00113ADE">
        <w:rPr>
          <w:rFonts w:ascii="Cambria" w:hAnsi="Cambria"/>
        </w:rPr>
        <w:t>-</w:t>
      </w:r>
      <w:r w:rsidR="00324E22" w:rsidRPr="00125AE7">
        <w:rPr>
          <w:rFonts w:ascii="Cambria" w:hAnsi="Cambria"/>
        </w:rPr>
        <w:t>centered</w:t>
      </w:r>
      <w:r w:rsidR="00A22A0E" w:rsidRPr="00113ADE">
        <w:rPr>
          <w:rFonts w:ascii="Cambria" w:hAnsi="Cambria"/>
        </w:rPr>
        <w:t>, nonpunitive</w:t>
      </w:r>
      <w:r w:rsidR="00324E22" w:rsidRPr="00125AE7">
        <w:rPr>
          <w:rFonts w:ascii="Cambria" w:hAnsi="Cambria"/>
        </w:rPr>
        <w:t xml:space="preserve"> drug policy</w:t>
      </w:r>
      <w:r w:rsidR="005E78F6" w:rsidRPr="00125AE7">
        <w:rPr>
          <w:rFonts w:ascii="Cambria" w:hAnsi="Cambria"/>
        </w:rPr>
        <w:t>.</w:t>
      </w:r>
    </w:p>
    <w:p w14:paraId="2F4AA590" w14:textId="77777777" w:rsidR="00AC6B71" w:rsidRPr="00125AE7" w:rsidRDefault="00AC6B71" w:rsidP="00125AE7">
      <w:pPr>
        <w:rPr>
          <w:rFonts w:ascii="Cambria" w:hAnsi="Cambria"/>
        </w:rPr>
      </w:pPr>
    </w:p>
    <w:p w14:paraId="5DBE4BF8" w14:textId="55A8582A" w:rsidR="00F601B1" w:rsidRPr="00125AE7" w:rsidRDefault="00B61999" w:rsidP="00125AE7">
      <w:pPr>
        <w:rPr>
          <w:rFonts w:ascii="Cambria" w:hAnsi="Cambria"/>
        </w:rPr>
      </w:pPr>
      <w:r>
        <w:rPr>
          <w:rFonts w:ascii="Cambria" w:hAnsi="Cambria"/>
        </w:rPr>
        <w:t xml:space="preserve">CNDP’s </w:t>
      </w:r>
      <w:r w:rsidR="00324E22" w:rsidRPr="00125AE7">
        <w:rPr>
          <w:rFonts w:ascii="Cambria" w:hAnsi="Cambria"/>
        </w:rPr>
        <w:t xml:space="preserve">work </w:t>
      </w:r>
      <w:r w:rsidR="005A5C9F">
        <w:rPr>
          <w:rFonts w:ascii="Cambria" w:hAnsi="Cambria"/>
        </w:rPr>
        <w:t>is pursued through</w:t>
      </w:r>
      <w:r w:rsidR="005A5C9F" w:rsidRPr="00125AE7">
        <w:rPr>
          <w:rFonts w:ascii="Cambria" w:hAnsi="Cambria"/>
        </w:rPr>
        <w:t xml:space="preserve"> </w:t>
      </w:r>
      <w:r w:rsidR="005E78F6" w:rsidRPr="00125AE7">
        <w:rPr>
          <w:rFonts w:ascii="Cambria" w:hAnsi="Cambria"/>
        </w:rPr>
        <w:t>three</w:t>
      </w:r>
      <w:r w:rsidR="003F1530" w:rsidRPr="00125AE7">
        <w:rPr>
          <w:rFonts w:ascii="Cambria" w:hAnsi="Cambria"/>
        </w:rPr>
        <w:t xml:space="preserve"> </w:t>
      </w:r>
      <w:r>
        <w:rPr>
          <w:rFonts w:ascii="Cambria" w:hAnsi="Cambria"/>
        </w:rPr>
        <w:t>interrelated</w:t>
      </w:r>
      <w:r w:rsidRPr="00125AE7">
        <w:rPr>
          <w:rFonts w:ascii="Cambria" w:hAnsi="Cambria"/>
        </w:rPr>
        <w:t xml:space="preserve"> </w:t>
      </w:r>
      <w:r>
        <w:rPr>
          <w:rFonts w:ascii="Cambria" w:hAnsi="Cambria"/>
        </w:rPr>
        <w:t>strategies</w:t>
      </w:r>
      <w:r w:rsidR="00324E22" w:rsidRPr="00125AE7">
        <w:rPr>
          <w:rFonts w:ascii="Cambria" w:hAnsi="Cambria"/>
        </w:rPr>
        <w:t xml:space="preserve">: (1) grantmaking to sustain key organizations in the field, (2) grantmaking and direct engagement </w:t>
      </w:r>
      <w:r w:rsidR="00477825" w:rsidRPr="00113ADE">
        <w:rPr>
          <w:rFonts w:ascii="Cambria" w:hAnsi="Cambria"/>
        </w:rPr>
        <w:t xml:space="preserve">with the field </w:t>
      </w:r>
      <w:r w:rsidR="00324E22" w:rsidRPr="00125AE7">
        <w:rPr>
          <w:rFonts w:ascii="Cambria" w:hAnsi="Cambria"/>
        </w:rPr>
        <w:t xml:space="preserve">to establish </w:t>
      </w:r>
      <w:r w:rsidR="00477825" w:rsidRPr="00113ADE">
        <w:rPr>
          <w:rFonts w:ascii="Cambria" w:hAnsi="Cambria"/>
        </w:rPr>
        <w:t>the infrastructure for a health centered drug policy</w:t>
      </w:r>
      <w:r w:rsidR="00324E22" w:rsidRPr="00125AE7">
        <w:rPr>
          <w:rFonts w:ascii="Cambria" w:hAnsi="Cambria"/>
        </w:rPr>
        <w:t xml:space="preserve">, </w:t>
      </w:r>
      <w:r w:rsidR="00591F7C" w:rsidRPr="00125AE7">
        <w:rPr>
          <w:rFonts w:ascii="Cambria" w:hAnsi="Cambria"/>
        </w:rPr>
        <w:t xml:space="preserve">and </w:t>
      </w:r>
      <w:r w:rsidR="00324E22" w:rsidRPr="00125AE7">
        <w:rPr>
          <w:rFonts w:ascii="Cambria" w:hAnsi="Cambria"/>
        </w:rPr>
        <w:t xml:space="preserve">(3) </w:t>
      </w:r>
      <w:r w:rsidR="00591F7C" w:rsidRPr="00125AE7">
        <w:rPr>
          <w:rFonts w:ascii="Cambria" w:hAnsi="Cambria"/>
        </w:rPr>
        <w:t>grantmaking and direc</w:t>
      </w:r>
      <w:r w:rsidR="00FE694D" w:rsidRPr="00125AE7">
        <w:rPr>
          <w:rFonts w:ascii="Cambria" w:hAnsi="Cambria"/>
        </w:rPr>
        <w:t>t </w:t>
      </w:r>
      <w:r w:rsidR="00591F7C" w:rsidRPr="00125AE7">
        <w:rPr>
          <w:rFonts w:ascii="Cambria" w:hAnsi="Cambria"/>
        </w:rPr>
        <w:t xml:space="preserve">engagement </w:t>
      </w:r>
      <w:r w:rsidR="00477825" w:rsidRPr="00113ADE">
        <w:rPr>
          <w:rFonts w:ascii="Cambria" w:hAnsi="Cambria"/>
        </w:rPr>
        <w:t xml:space="preserve">with the field </w:t>
      </w:r>
      <w:r w:rsidR="00591F7C" w:rsidRPr="00125AE7">
        <w:rPr>
          <w:rFonts w:ascii="Cambria" w:hAnsi="Cambria"/>
        </w:rPr>
        <w:t xml:space="preserve">to </w:t>
      </w:r>
      <w:r w:rsidR="00FE694D" w:rsidRPr="00125AE7">
        <w:rPr>
          <w:rFonts w:ascii="Cambria" w:hAnsi="Cambria"/>
        </w:rPr>
        <w:t>establish</w:t>
      </w:r>
      <w:r w:rsidR="00591F7C" w:rsidRPr="00125AE7">
        <w:rPr>
          <w:rFonts w:ascii="Cambria" w:hAnsi="Cambria"/>
        </w:rPr>
        <w:t xml:space="preserve"> community-level alternatives to punitive drug policies.  These </w:t>
      </w:r>
      <w:r w:rsidR="00E34292">
        <w:rPr>
          <w:rFonts w:ascii="Cambria" w:hAnsi="Cambria"/>
        </w:rPr>
        <w:t>areas</w:t>
      </w:r>
      <w:r w:rsidR="00FE694D" w:rsidRPr="00125AE7">
        <w:rPr>
          <w:rFonts w:ascii="Cambria" w:hAnsi="Cambria"/>
        </w:rPr>
        <w:t xml:space="preserve"> of work </w:t>
      </w:r>
      <w:r w:rsidR="00591F7C" w:rsidRPr="00125AE7">
        <w:rPr>
          <w:rFonts w:ascii="Cambria" w:hAnsi="Cambria"/>
        </w:rPr>
        <w:t>ar</w:t>
      </w:r>
      <w:r w:rsidR="00F601B1" w:rsidRPr="00125AE7">
        <w:rPr>
          <w:rFonts w:ascii="Cambria" w:hAnsi="Cambria"/>
        </w:rPr>
        <w:t>e discuss</w:t>
      </w:r>
      <w:r w:rsidR="00477825" w:rsidRPr="00113ADE">
        <w:rPr>
          <w:rFonts w:ascii="Cambria" w:hAnsi="Cambria"/>
        </w:rPr>
        <w:t>ed</w:t>
      </w:r>
      <w:r w:rsidR="00F601B1" w:rsidRPr="00125AE7">
        <w:rPr>
          <w:rFonts w:ascii="Cambria" w:hAnsi="Cambria"/>
        </w:rPr>
        <w:t xml:space="preserve"> </w:t>
      </w:r>
      <w:r w:rsidR="00591F7C" w:rsidRPr="00125AE7">
        <w:rPr>
          <w:rFonts w:ascii="Cambria" w:hAnsi="Cambria"/>
        </w:rPr>
        <w:t xml:space="preserve">in greater detail </w:t>
      </w:r>
      <w:r w:rsidR="00F601B1" w:rsidRPr="00125AE7">
        <w:rPr>
          <w:rFonts w:ascii="Cambria" w:hAnsi="Cambria"/>
        </w:rPr>
        <w:t xml:space="preserve">below under </w:t>
      </w:r>
      <w:r w:rsidR="00324E22" w:rsidRPr="00125AE7">
        <w:rPr>
          <w:rFonts w:ascii="Cambria" w:hAnsi="Cambria"/>
        </w:rPr>
        <w:t xml:space="preserve">“Strategic Approach </w:t>
      </w:r>
      <w:r w:rsidR="00FE694D" w:rsidRPr="00125AE7">
        <w:rPr>
          <w:rFonts w:ascii="Cambria" w:hAnsi="Cambria"/>
        </w:rPr>
        <w:t>a</w:t>
      </w:r>
      <w:r w:rsidR="00324E22" w:rsidRPr="00125AE7">
        <w:rPr>
          <w:rFonts w:ascii="Cambria" w:hAnsi="Cambria"/>
        </w:rPr>
        <w:t>nd Program Capacity: 2011</w:t>
      </w:r>
      <w:r w:rsidR="006066BA">
        <w:rPr>
          <w:rFonts w:ascii="Cambria" w:hAnsi="Cambria"/>
        </w:rPr>
        <w:noBreakHyphen/>
      </w:r>
      <w:r w:rsidR="00324E22" w:rsidRPr="00125AE7">
        <w:rPr>
          <w:rFonts w:ascii="Cambria" w:hAnsi="Cambria"/>
        </w:rPr>
        <w:t>2014.”</w:t>
      </w:r>
    </w:p>
    <w:p w14:paraId="68754DF2" w14:textId="77777777" w:rsidR="00F601B1" w:rsidRPr="00125AE7" w:rsidRDefault="00F601B1" w:rsidP="00125AE7">
      <w:pPr>
        <w:rPr>
          <w:rFonts w:ascii="Cambria" w:hAnsi="Cambria"/>
        </w:rPr>
      </w:pPr>
    </w:p>
    <w:p w14:paraId="773C297B" w14:textId="77777777" w:rsidR="006379DA" w:rsidRPr="00125AE7" w:rsidRDefault="00FE694D" w:rsidP="00125AE7">
      <w:pPr>
        <w:rPr>
          <w:rFonts w:ascii="Cambria" w:hAnsi="Cambria"/>
        </w:rPr>
      </w:pPr>
      <w:r w:rsidRPr="00125AE7">
        <w:rPr>
          <w:rFonts w:ascii="Cambria" w:hAnsi="Cambria"/>
        </w:rPr>
        <w:t xml:space="preserve">Three years into the campaign, we have learned </w:t>
      </w:r>
      <w:r w:rsidR="006066BA">
        <w:rPr>
          <w:rFonts w:ascii="Cambria" w:hAnsi="Cambria"/>
        </w:rPr>
        <w:t>s</w:t>
      </w:r>
      <w:r w:rsidRPr="00125AE7">
        <w:rPr>
          <w:rFonts w:ascii="Cambria" w:hAnsi="Cambria"/>
        </w:rPr>
        <w:t xml:space="preserve">ome </w:t>
      </w:r>
      <w:r w:rsidR="00FE71FA">
        <w:rPr>
          <w:rFonts w:ascii="Cambria" w:hAnsi="Cambria"/>
        </w:rPr>
        <w:t>“</w:t>
      </w:r>
      <w:r w:rsidR="006066BA">
        <w:rPr>
          <w:rFonts w:ascii="Cambria" w:hAnsi="Cambria"/>
        </w:rPr>
        <w:t>easy</w:t>
      </w:r>
      <w:r w:rsidR="00FE71FA">
        <w:rPr>
          <w:rFonts w:ascii="Cambria" w:hAnsi="Cambria"/>
        </w:rPr>
        <w:t>”</w:t>
      </w:r>
      <w:r w:rsidR="006066BA">
        <w:rPr>
          <w:rFonts w:ascii="Cambria" w:hAnsi="Cambria"/>
        </w:rPr>
        <w:t xml:space="preserve"> </w:t>
      </w:r>
      <w:r w:rsidR="0005650E" w:rsidRPr="00113ADE">
        <w:rPr>
          <w:rFonts w:ascii="Cambria" w:hAnsi="Cambria"/>
        </w:rPr>
        <w:t>l</w:t>
      </w:r>
      <w:r w:rsidRPr="00125AE7">
        <w:rPr>
          <w:rFonts w:ascii="Cambria" w:hAnsi="Cambria"/>
        </w:rPr>
        <w:t xml:space="preserve">essons </w:t>
      </w:r>
      <w:r w:rsidR="00FE71FA">
        <w:rPr>
          <w:rFonts w:ascii="Cambria" w:hAnsi="Cambria"/>
        </w:rPr>
        <w:t xml:space="preserve">that </w:t>
      </w:r>
      <w:r w:rsidR="006066BA">
        <w:rPr>
          <w:rFonts w:ascii="Cambria" w:hAnsi="Cambria"/>
        </w:rPr>
        <w:t xml:space="preserve">confirmed </w:t>
      </w:r>
      <w:r w:rsidRPr="00125AE7">
        <w:rPr>
          <w:rFonts w:ascii="Cambria" w:hAnsi="Cambria"/>
        </w:rPr>
        <w:t xml:space="preserve">what we already </w:t>
      </w:r>
      <w:r w:rsidR="006066BA">
        <w:rPr>
          <w:rFonts w:ascii="Cambria" w:hAnsi="Cambria"/>
        </w:rPr>
        <w:t>believed (e.g, that changing the roles of police in drug law enforcement is possible</w:t>
      </w:r>
      <w:r w:rsidR="00FE71FA">
        <w:rPr>
          <w:rFonts w:ascii="Cambria" w:hAnsi="Cambria"/>
        </w:rPr>
        <w:t xml:space="preserve"> and essential</w:t>
      </w:r>
      <w:r w:rsidR="006066BA">
        <w:rPr>
          <w:rFonts w:ascii="Cambria" w:hAnsi="Cambria"/>
        </w:rPr>
        <w:t>), while</w:t>
      </w:r>
      <w:r w:rsidR="00CA75BF" w:rsidRPr="00125AE7">
        <w:rPr>
          <w:rFonts w:ascii="Cambria" w:hAnsi="Cambria"/>
        </w:rPr>
        <w:t xml:space="preserve"> o</w:t>
      </w:r>
      <w:r w:rsidRPr="00125AE7">
        <w:rPr>
          <w:rFonts w:ascii="Cambria" w:hAnsi="Cambria"/>
        </w:rPr>
        <w:t>ther</w:t>
      </w:r>
      <w:r w:rsidR="00FE71FA">
        <w:rPr>
          <w:rFonts w:ascii="Cambria" w:hAnsi="Cambria"/>
        </w:rPr>
        <w:t xml:space="preserve"> lessons</w:t>
      </w:r>
      <w:r w:rsidR="00CA75BF" w:rsidRPr="00125AE7">
        <w:rPr>
          <w:rFonts w:ascii="Cambria" w:hAnsi="Cambria"/>
        </w:rPr>
        <w:t xml:space="preserve"> </w:t>
      </w:r>
      <w:r w:rsidRPr="00125AE7">
        <w:rPr>
          <w:rFonts w:ascii="Cambria" w:hAnsi="Cambria"/>
        </w:rPr>
        <w:t>were more difficult</w:t>
      </w:r>
      <w:r w:rsidR="006066BA">
        <w:rPr>
          <w:rFonts w:ascii="Cambria" w:hAnsi="Cambria"/>
        </w:rPr>
        <w:t xml:space="preserve">, </w:t>
      </w:r>
      <w:r w:rsidR="0005650E" w:rsidRPr="00113ADE">
        <w:rPr>
          <w:rFonts w:ascii="Cambria" w:hAnsi="Cambria"/>
        </w:rPr>
        <w:t>unexpected</w:t>
      </w:r>
      <w:r w:rsidR="006066BA">
        <w:rPr>
          <w:rFonts w:ascii="Cambria" w:hAnsi="Cambria"/>
        </w:rPr>
        <w:t xml:space="preserve"> </w:t>
      </w:r>
      <w:r w:rsidR="00FE71FA">
        <w:rPr>
          <w:rFonts w:ascii="Cambria" w:hAnsi="Cambria"/>
        </w:rPr>
        <w:t>and newly</w:t>
      </w:r>
      <w:r w:rsidR="006066BA">
        <w:rPr>
          <w:rFonts w:ascii="Cambria" w:hAnsi="Cambria"/>
        </w:rPr>
        <w:t xml:space="preserve"> illuminating</w:t>
      </w:r>
      <w:r w:rsidRPr="00125AE7">
        <w:rPr>
          <w:rFonts w:ascii="Cambria" w:hAnsi="Cambria"/>
        </w:rPr>
        <w:t xml:space="preserve">.  </w:t>
      </w:r>
      <w:r w:rsidR="00CA75BF" w:rsidRPr="00125AE7">
        <w:rPr>
          <w:rFonts w:ascii="Cambria" w:hAnsi="Cambria"/>
        </w:rPr>
        <w:t>T</w:t>
      </w:r>
      <w:r w:rsidR="00383302" w:rsidRPr="00125AE7">
        <w:rPr>
          <w:rFonts w:ascii="Cambria" w:hAnsi="Cambria"/>
        </w:rPr>
        <w:t>hree overarching lessons</w:t>
      </w:r>
      <w:r w:rsidR="006066BA">
        <w:rPr>
          <w:rFonts w:ascii="Cambria" w:hAnsi="Cambria"/>
        </w:rPr>
        <w:t>/conclusion</w:t>
      </w:r>
      <w:r w:rsidR="00E96DA9">
        <w:rPr>
          <w:rFonts w:ascii="Cambria" w:hAnsi="Cambria"/>
        </w:rPr>
        <w:t>s</w:t>
      </w:r>
      <w:r w:rsidR="00383302" w:rsidRPr="00125AE7">
        <w:rPr>
          <w:rFonts w:ascii="Cambria" w:hAnsi="Cambria"/>
        </w:rPr>
        <w:t xml:space="preserve"> </w:t>
      </w:r>
      <w:r w:rsidR="006066BA">
        <w:rPr>
          <w:rFonts w:ascii="Cambria" w:hAnsi="Cambria"/>
        </w:rPr>
        <w:t xml:space="preserve">have been particularly influential in the </w:t>
      </w:r>
      <w:r w:rsidR="00383302" w:rsidRPr="00125AE7">
        <w:rPr>
          <w:rFonts w:ascii="Cambria" w:hAnsi="Cambria"/>
        </w:rPr>
        <w:t>campaign</w:t>
      </w:r>
      <w:r w:rsidR="00CA75BF" w:rsidRPr="00125AE7">
        <w:rPr>
          <w:rFonts w:ascii="Cambria" w:hAnsi="Cambria"/>
        </w:rPr>
        <w:t>’s</w:t>
      </w:r>
      <w:r w:rsidR="00383302" w:rsidRPr="00125AE7">
        <w:rPr>
          <w:rFonts w:ascii="Cambria" w:hAnsi="Cambria"/>
        </w:rPr>
        <w:t xml:space="preserve"> </w:t>
      </w:r>
      <w:r w:rsidR="006066BA">
        <w:rPr>
          <w:rFonts w:ascii="Cambria" w:hAnsi="Cambria"/>
        </w:rPr>
        <w:t>current strategic approach</w:t>
      </w:r>
      <w:r w:rsidR="00AC6B71" w:rsidRPr="00125AE7">
        <w:rPr>
          <w:rFonts w:ascii="Cambria" w:hAnsi="Cambria"/>
        </w:rPr>
        <w:t>:</w:t>
      </w:r>
    </w:p>
    <w:p w14:paraId="5A105B74" w14:textId="77777777" w:rsidR="0005650E" w:rsidRPr="00113ADE" w:rsidRDefault="0005650E" w:rsidP="00125AE7">
      <w:pPr>
        <w:ind w:left="720"/>
        <w:rPr>
          <w:rFonts w:ascii="Cambria" w:hAnsi="Cambria"/>
          <w:b/>
          <w:i/>
        </w:rPr>
      </w:pPr>
    </w:p>
    <w:p w14:paraId="40915013" w14:textId="77777777" w:rsidR="00CA75BF" w:rsidRPr="00113ADE" w:rsidRDefault="00CA75BF" w:rsidP="00125AE7">
      <w:pPr>
        <w:numPr>
          <w:ilvl w:val="0"/>
          <w:numId w:val="38"/>
        </w:numPr>
        <w:rPr>
          <w:rFonts w:ascii="Cambria" w:hAnsi="Cambria"/>
        </w:rPr>
      </w:pPr>
      <w:r w:rsidRPr="00125AE7">
        <w:rPr>
          <w:rFonts w:ascii="Cambria" w:hAnsi="Cambria"/>
          <w:b/>
          <w:i/>
        </w:rPr>
        <w:t>Extremely strong partnerships can be formed among people with diverg</w:t>
      </w:r>
      <w:r w:rsidR="00EF5CE9" w:rsidRPr="00125AE7">
        <w:rPr>
          <w:rFonts w:ascii="Cambria" w:hAnsi="Cambria"/>
          <w:b/>
          <w:i/>
        </w:rPr>
        <w:t>ent</w:t>
      </w:r>
      <w:r w:rsidRPr="00125AE7">
        <w:rPr>
          <w:rFonts w:ascii="Cambria" w:hAnsi="Cambria"/>
          <w:b/>
          <w:i/>
        </w:rPr>
        <w:t xml:space="preserve"> perspectives and reasons for engaging in drug policy reform</w:t>
      </w:r>
      <w:r w:rsidR="002C1050" w:rsidRPr="00125AE7">
        <w:rPr>
          <w:rFonts w:ascii="Cambria" w:hAnsi="Cambria"/>
          <w:b/>
          <w:i/>
        </w:rPr>
        <w:t>.</w:t>
      </w:r>
      <w:r w:rsidR="002C1050" w:rsidRPr="00125AE7">
        <w:rPr>
          <w:rFonts w:ascii="Cambria" w:hAnsi="Cambria"/>
        </w:rPr>
        <w:t xml:space="preserve"> </w:t>
      </w:r>
      <w:r w:rsidR="000B18B9" w:rsidRPr="00125AE7">
        <w:rPr>
          <w:rFonts w:ascii="Cambria" w:hAnsi="Cambria"/>
        </w:rPr>
        <w:t xml:space="preserve">We learned this, in </w:t>
      </w:r>
      <w:r w:rsidR="0005650E" w:rsidRPr="00113ADE">
        <w:rPr>
          <w:rFonts w:ascii="Cambria" w:hAnsi="Cambria"/>
        </w:rPr>
        <w:t xml:space="preserve">large </w:t>
      </w:r>
      <w:r w:rsidR="000B18B9" w:rsidRPr="00125AE7">
        <w:rPr>
          <w:rFonts w:ascii="Cambria" w:hAnsi="Cambria"/>
        </w:rPr>
        <w:t xml:space="preserve">part, from </w:t>
      </w:r>
      <w:r w:rsidR="004D78D4">
        <w:rPr>
          <w:rFonts w:ascii="Cambria" w:hAnsi="Cambria"/>
        </w:rPr>
        <w:t xml:space="preserve">our </w:t>
      </w:r>
      <w:r w:rsidR="00E96DA9">
        <w:rPr>
          <w:rFonts w:ascii="Cambria" w:hAnsi="Cambria"/>
        </w:rPr>
        <w:t xml:space="preserve">internal </w:t>
      </w:r>
      <w:r w:rsidR="004D78D4">
        <w:rPr>
          <w:rFonts w:ascii="Cambria" w:hAnsi="Cambria"/>
        </w:rPr>
        <w:t>experience working as a team</w:t>
      </w:r>
      <w:r w:rsidR="00D12806">
        <w:rPr>
          <w:rFonts w:ascii="Cambria" w:hAnsi="Cambria"/>
        </w:rPr>
        <w:t xml:space="preserve">. </w:t>
      </w:r>
      <w:r w:rsidR="004D78D4">
        <w:rPr>
          <w:rFonts w:ascii="Cambria" w:hAnsi="Cambria"/>
        </w:rPr>
        <w:t>In order to</w:t>
      </w:r>
      <w:r w:rsidRPr="00125AE7">
        <w:rPr>
          <w:rFonts w:ascii="Cambria" w:hAnsi="Cambria"/>
        </w:rPr>
        <w:t xml:space="preserve"> pursue CNDP’s </w:t>
      </w:r>
      <w:r w:rsidR="007D2362" w:rsidRPr="00125AE7">
        <w:rPr>
          <w:rFonts w:ascii="Cambria" w:hAnsi="Cambria"/>
        </w:rPr>
        <w:t>objectives</w:t>
      </w:r>
      <w:r w:rsidRPr="00125AE7">
        <w:rPr>
          <w:rFonts w:ascii="Cambria" w:hAnsi="Cambria"/>
        </w:rPr>
        <w:t xml:space="preserve"> effectively, </w:t>
      </w:r>
      <w:r w:rsidR="002C1050" w:rsidRPr="00125AE7">
        <w:rPr>
          <w:rFonts w:ascii="Cambria" w:hAnsi="Cambria"/>
        </w:rPr>
        <w:t xml:space="preserve">we </w:t>
      </w:r>
      <w:r w:rsidRPr="00125AE7">
        <w:rPr>
          <w:rFonts w:ascii="Cambria" w:hAnsi="Cambria"/>
        </w:rPr>
        <w:t xml:space="preserve">had to </w:t>
      </w:r>
      <w:r w:rsidR="002C1050" w:rsidRPr="00125AE7">
        <w:rPr>
          <w:rFonts w:ascii="Cambria" w:hAnsi="Cambria"/>
        </w:rPr>
        <w:t xml:space="preserve">first </w:t>
      </w:r>
      <w:r w:rsidRPr="00125AE7">
        <w:rPr>
          <w:rFonts w:ascii="Cambria" w:hAnsi="Cambria"/>
        </w:rPr>
        <w:t>w</w:t>
      </w:r>
      <w:r w:rsidR="00EA58B1" w:rsidRPr="00125AE7">
        <w:rPr>
          <w:rFonts w:ascii="Cambria" w:hAnsi="Cambria"/>
        </w:rPr>
        <w:t>ork</w:t>
      </w:r>
      <w:r w:rsidR="002C1050" w:rsidRPr="00125AE7">
        <w:rPr>
          <w:rFonts w:ascii="Cambria" w:hAnsi="Cambria"/>
        </w:rPr>
        <w:t xml:space="preserve"> through </w:t>
      </w:r>
      <w:r w:rsidR="007D2362" w:rsidRPr="00125AE7">
        <w:rPr>
          <w:rFonts w:ascii="Cambria" w:hAnsi="Cambria"/>
        </w:rPr>
        <w:t xml:space="preserve">our internal </w:t>
      </w:r>
      <w:r w:rsidR="00114AE0" w:rsidRPr="00125AE7">
        <w:rPr>
          <w:rFonts w:ascii="Cambria" w:hAnsi="Cambria"/>
        </w:rPr>
        <w:t xml:space="preserve">differences in professional background and </w:t>
      </w:r>
      <w:r w:rsidR="0005650E" w:rsidRPr="00113ADE">
        <w:rPr>
          <w:rFonts w:ascii="Cambria" w:hAnsi="Cambria"/>
        </w:rPr>
        <w:t>individual perspective</w:t>
      </w:r>
      <w:r w:rsidR="007D2362" w:rsidRPr="00125AE7">
        <w:rPr>
          <w:rFonts w:ascii="Cambria" w:hAnsi="Cambria"/>
        </w:rPr>
        <w:t xml:space="preserve">.  </w:t>
      </w:r>
      <w:r w:rsidR="00EF5CE9" w:rsidRPr="00125AE7">
        <w:rPr>
          <w:rFonts w:ascii="Cambria" w:hAnsi="Cambria"/>
        </w:rPr>
        <w:t>Until we did, it was impossible to</w:t>
      </w:r>
      <w:r w:rsidR="002C1050" w:rsidRPr="00125AE7">
        <w:rPr>
          <w:rFonts w:ascii="Cambria" w:hAnsi="Cambria"/>
        </w:rPr>
        <w:t xml:space="preserve"> pursue a</w:t>
      </w:r>
      <w:r w:rsidR="004D78D4">
        <w:rPr>
          <w:rFonts w:ascii="Cambria" w:hAnsi="Cambria"/>
        </w:rPr>
        <w:t xml:space="preserve">n integrated </w:t>
      </w:r>
      <w:r w:rsidR="002C1050" w:rsidRPr="00125AE7">
        <w:rPr>
          <w:rFonts w:ascii="Cambria" w:hAnsi="Cambria"/>
        </w:rPr>
        <w:t xml:space="preserve">strategy. </w:t>
      </w:r>
      <w:r w:rsidR="00114AE0" w:rsidRPr="00125AE7">
        <w:rPr>
          <w:rFonts w:ascii="Cambria" w:hAnsi="Cambria"/>
        </w:rPr>
        <w:t xml:space="preserve">The same dynamic exists across </w:t>
      </w:r>
      <w:r w:rsidR="00A22A0E" w:rsidRPr="00125AE7">
        <w:rPr>
          <w:rFonts w:ascii="Cambria" w:hAnsi="Cambria"/>
        </w:rPr>
        <w:t xml:space="preserve">the sectors </w:t>
      </w:r>
      <w:r w:rsidR="0005650E" w:rsidRPr="00113ADE">
        <w:rPr>
          <w:rFonts w:ascii="Cambria" w:hAnsi="Cambria"/>
        </w:rPr>
        <w:t>we fund.</w:t>
      </w:r>
      <w:r w:rsidR="00042A6A" w:rsidRPr="00125AE7">
        <w:rPr>
          <w:rFonts w:ascii="Cambria" w:hAnsi="Cambria"/>
        </w:rPr>
        <w:t xml:space="preserve"> We have seen repeatedly in our health and community-level alternatives </w:t>
      </w:r>
      <w:r w:rsidR="00E86FF7">
        <w:rPr>
          <w:rFonts w:ascii="Cambria" w:hAnsi="Cambria"/>
        </w:rPr>
        <w:t xml:space="preserve">work </w:t>
      </w:r>
      <w:r w:rsidR="0005650E" w:rsidRPr="00113ADE">
        <w:rPr>
          <w:rFonts w:ascii="Cambria" w:hAnsi="Cambria"/>
        </w:rPr>
        <w:t xml:space="preserve">the need to invest in partners </w:t>
      </w:r>
      <w:r w:rsidR="00042A6A" w:rsidRPr="00125AE7">
        <w:rPr>
          <w:rFonts w:ascii="Cambria" w:hAnsi="Cambria"/>
        </w:rPr>
        <w:t>who</w:t>
      </w:r>
      <w:r w:rsidR="00114AE0" w:rsidRPr="00125AE7">
        <w:rPr>
          <w:rFonts w:ascii="Cambria" w:hAnsi="Cambria"/>
        </w:rPr>
        <w:t xml:space="preserve"> recognize and </w:t>
      </w:r>
      <w:r w:rsidR="00EF5CE9" w:rsidRPr="00125AE7">
        <w:rPr>
          <w:rFonts w:ascii="Cambria" w:hAnsi="Cambria"/>
        </w:rPr>
        <w:t xml:space="preserve">are able to </w:t>
      </w:r>
      <w:r w:rsidR="00114AE0" w:rsidRPr="00125AE7">
        <w:rPr>
          <w:rFonts w:ascii="Cambria" w:hAnsi="Cambria"/>
        </w:rPr>
        <w:t xml:space="preserve">overcome </w:t>
      </w:r>
      <w:r w:rsidR="00EF5CE9" w:rsidRPr="00125AE7">
        <w:rPr>
          <w:rFonts w:ascii="Cambria" w:hAnsi="Cambria"/>
        </w:rPr>
        <w:t>barriers</w:t>
      </w:r>
      <w:r w:rsidR="0005650E" w:rsidRPr="00113ADE">
        <w:rPr>
          <w:rFonts w:ascii="Cambria" w:hAnsi="Cambria"/>
        </w:rPr>
        <w:t xml:space="preserve"> to </w:t>
      </w:r>
      <w:r w:rsidR="006561DA">
        <w:rPr>
          <w:rFonts w:ascii="Cambria" w:hAnsi="Cambria"/>
        </w:rPr>
        <w:t>effective</w:t>
      </w:r>
      <w:r w:rsidR="0005650E" w:rsidRPr="00113ADE">
        <w:rPr>
          <w:rFonts w:ascii="Cambria" w:hAnsi="Cambria"/>
        </w:rPr>
        <w:t xml:space="preserve"> collaboration</w:t>
      </w:r>
      <w:r w:rsidR="00042A6A" w:rsidRPr="00125AE7">
        <w:rPr>
          <w:rFonts w:ascii="Cambria" w:hAnsi="Cambria"/>
        </w:rPr>
        <w:t>.</w:t>
      </w:r>
      <w:r w:rsidR="000B18B9" w:rsidRPr="00125AE7">
        <w:rPr>
          <w:rFonts w:ascii="Cambria" w:hAnsi="Cambria"/>
        </w:rPr>
        <w:t xml:space="preserve">  </w:t>
      </w:r>
    </w:p>
    <w:p w14:paraId="21B9C810" w14:textId="77777777" w:rsidR="00477825" w:rsidRPr="00125AE7" w:rsidRDefault="00477825" w:rsidP="00125AE7">
      <w:pPr>
        <w:ind w:left="720"/>
        <w:rPr>
          <w:rFonts w:ascii="Cambria" w:hAnsi="Cambria"/>
        </w:rPr>
      </w:pPr>
    </w:p>
    <w:p w14:paraId="6F3CDB83" w14:textId="77777777" w:rsidR="004E3D20" w:rsidRPr="00125AE7" w:rsidRDefault="006547B8" w:rsidP="00125AE7">
      <w:pPr>
        <w:numPr>
          <w:ilvl w:val="0"/>
          <w:numId w:val="36"/>
        </w:numPr>
        <w:rPr>
          <w:rFonts w:ascii="Cambria" w:hAnsi="Cambria"/>
        </w:rPr>
      </w:pPr>
      <w:r w:rsidRPr="00125AE7">
        <w:rPr>
          <w:rFonts w:ascii="Cambria" w:hAnsi="Cambria"/>
          <w:b/>
          <w:i/>
        </w:rPr>
        <w:t xml:space="preserve">A solutions-based approach </w:t>
      </w:r>
      <w:r w:rsidR="00044BD8" w:rsidRPr="00125AE7">
        <w:rPr>
          <w:rFonts w:ascii="Cambria" w:hAnsi="Cambria"/>
          <w:b/>
          <w:i/>
        </w:rPr>
        <w:t xml:space="preserve">to drug policy reform </w:t>
      </w:r>
      <w:r w:rsidRPr="00125AE7">
        <w:rPr>
          <w:rFonts w:ascii="Cambria" w:hAnsi="Cambria"/>
          <w:b/>
          <w:i/>
        </w:rPr>
        <w:t>is essential</w:t>
      </w:r>
      <w:r w:rsidRPr="00125AE7">
        <w:rPr>
          <w:rFonts w:ascii="Cambria" w:hAnsi="Cambria"/>
          <w:b/>
        </w:rPr>
        <w:t>.</w:t>
      </w:r>
      <w:r w:rsidR="003406B9" w:rsidRPr="00125AE7">
        <w:rPr>
          <w:rFonts w:ascii="Cambria" w:hAnsi="Cambria"/>
        </w:rPr>
        <w:t xml:space="preserve"> </w:t>
      </w:r>
      <w:r w:rsidR="0028794D" w:rsidRPr="00113ADE">
        <w:rPr>
          <w:rFonts w:ascii="Cambria" w:hAnsi="Cambria"/>
        </w:rPr>
        <w:t xml:space="preserve"> We have seen </w:t>
      </w:r>
      <w:r w:rsidR="006561DA">
        <w:rPr>
          <w:rFonts w:ascii="Cambria" w:hAnsi="Cambria"/>
        </w:rPr>
        <w:t>many</w:t>
      </w:r>
      <w:r w:rsidR="0028794D" w:rsidRPr="00113ADE">
        <w:rPr>
          <w:rFonts w:ascii="Cambria" w:hAnsi="Cambria"/>
        </w:rPr>
        <w:t xml:space="preserve"> instances in which drug policy reform advocates argue persuasively that the “war on drugs” </w:t>
      </w:r>
      <w:r w:rsidR="00EF5CE9" w:rsidRPr="00113ADE">
        <w:rPr>
          <w:rFonts w:ascii="Cambria" w:hAnsi="Cambria"/>
        </w:rPr>
        <w:t>causes</w:t>
      </w:r>
      <w:r w:rsidR="0028794D" w:rsidRPr="00113ADE">
        <w:rPr>
          <w:rFonts w:ascii="Cambria" w:hAnsi="Cambria"/>
        </w:rPr>
        <w:t xml:space="preserve"> </w:t>
      </w:r>
      <w:r w:rsidR="00EF5CE9" w:rsidRPr="00113ADE">
        <w:rPr>
          <w:rFonts w:ascii="Cambria" w:hAnsi="Cambria"/>
        </w:rPr>
        <w:t xml:space="preserve">more harm </w:t>
      </w:r>
      <w:r w:rsidR="0028794D" w:rsidRPr="00113ADE">
        <w:rPr>
          <w:rFonts w:ascii="Cambria" w:hAnsi="Cambria"/>
        </w:rPr>
        <w:t>tha</w:t>
      </w:r>
      <w:r w:rsidR="00EF5CE9" w:rsidRPr="00113ADE">
        <w:rPr>
          <w:rFonts w:ascii="Cambria" w:hAnsi="Cambria"/>
        </w:rPr>
        <w:t>n</w:t>
      </w:r>
      <w:r w:rsidR="0028794D" w:rsidRPr="00113ADE">
        <w:rPr>
          <w:rFonts w:ascii="Cambria" w:hAnsi="Cambria"/>
        </w:rPr>
        <w:t xml:space="preserve"> benefit, but </w:t>
      </w:r>
      <w:r w:rsidR="00EF5CE9" w:rsidRPr="00113ADE">
        <w:rPr>
          <w:rFonts w:ascii="Cambria" w:hAnsi="Cambria"/>
        </w:rPr>
        <w:t xml:space="preserve">then </w:t>
      </w:r>
      <w:r w:rsidR="0005650E" w:rsidRPr="00113ADE">
        <w:rPr>
          <w:rFonts w:ascii="Cambria" w:hAnsi="Cambria"/>
        </w:rPr>
        <w:t xml:space="preserve">fail to offer a </w:t>
      </w:r>
      <w:r w:rsidR="0028794D" w:rsidRPr="00113ADE">
        <w:rPr>
          <w:rFonts w:ascii="Cambria" w:hAnsi="Cambria"/>
        </w:rPr>
        <w:t xml:space="preserve">realistic alternative. </w:t>
      </w:r>
      <w:r w:rsidR="00AF1E27" w:rsidRPr="00113ADE">
        <w:rPr>
          <w:rFonts w:ascii="Cambria" w:hAnsi="Cambria"/>
        </w:rPr>
        <w:t xml:space="preserve">In CNDP’s health and community-level alternatives work, we </w:t>
      </w:r>
      <w:r w:rsidR="00AF1E27">
        <w:rPr>
          <w:rFonts w:ascii="Cambria" w:hAnsi="Cambria"/>
        </w:rPr>
        <w:t xml:space="preserve">have increasingly </w:t>
      </w:r>
      <w:r w:rsidR="00AF1E27" w:rsidRPr="00113ADE">
        <w:rPr>
          <w:rFonts w:ascii="Cambria" w:hAnsi="Cambria"/>
        </w:rPr>
        <w:t>focus</w:t>
      </w:r>
      <w:r w:rsidR="00AF1E27">
        <w:rPr>
          <w:rFonts w:ascii="Cambria" w:hAnsi="Cambria"/>
        </w:rPr>
        <w:t>ed</w:t>
      </w:r>
      <w:r w:rsidR="00AF1E27" w:rsidRPr="00113ADE">
        <w:rPr>
          <w:rFonts w:ascii="Cambria" w:hAnsi="Cambria"/>
        </w:rPr>
        <w:t xml:space="preserve"> our efforts on grantee and non-grantee partners </w:t>
      </w:r>
      <w:r w:rsidR="00AF1E27">
        <w:rPr>
          <w:rFonts w:ascii="Cambria" w:hAnsi="Cambria"/>
        </w:rPr>
        <w:t xml:space="preserve">that are </w:t>
      </w:r>
      <w:r w:rsidR="00AF1E27" w:rsidRPr="00113ADE">
        <w:rPr>
          <w:rFonts w:ascii="Cambria" w:hAnsi="Cambria"/>
        </w:rPr>
        <w:t>prepared to participate in solutions-based efforts.</w:t>
      </w:r>
      <w:r w:rsidR="0028794D" w:rsidRPr="00113ADE">
        <w:rPr>
          <w:rFonts w:ascii="Cambria" w:hAnsi="Cambria"/>
        </w:rPr>
        <w:t xml:space="preserve"> Without the ability to </w:t>
      </w:r>
      <w:r w:rsidR="006561DA">
        <w:rPr>
          <w:rFonts w:ascii="Cambria" w:hAnsi="Cambria"/>
        </w:rPr>
        <w:t>work toward</w:t>
      </w:r>
      <w:r w:rsidR="0028794D" w:rsidRPr="00113ADE">
        <w:rPr>
          <w:rFonts w:ascii="Cambria" w:hAnsi="Cambria"/>
        </w:rPr>
        <w:t xml:space="preserve"> solutions, sustainable partnerships cannot be formed </w:t>
      </w:r>
      <w:r w:rsidR="0028794D" w:rsidRPr="00113ADE">
        <w:rPr>
          <w:rFonts w:ascii="Cambria" w:hAnsi="Cambria"/>
        </w:rPr>
        <w:lastRenderedPageBreak/>
        <w:t xml:space="preserve">and reform </w:t>
      </w:r>
      <w:r w:rsidR="00FE71FA">
        <w:rPr>
          <w:rFonts w:ascii="Cambria" w:hAnsi="Cambria"/>
        </w:rPr>
        <w:t xml:space="preserve">normally </w:t>
      </w:r>
      <w:r w:rsidR="0028794D" w:rsidRPr="00113ADE">
        <w:rPr>
          <w:rFonts w:ascii="Cambria" w:hAnsi="Cambria"/>
        </w:rPr>
        <w:t xml:space="preserve">cannot </w:t>
      </w:r>
      <w:r w:rsidR="00042A6A" w:rsidRPr="00113ADE">
        <w:rPr>
          <w:rFonts w:ascii="Cambria" w:hAnsi="Cambria"/>
        </w:rPr>
        <w:t>advance</w:t>
      </w:r>
      <w:r w:rsidR="0028794D" w:rsidRPr="00113ADE">
        <w:rPr>
          <w:rFonts w:ascii="Cambria" w:hAnsi="Cambria"/>
        </w:rPr>
        <w:t xml:space="preserve"> beyond the hypothetical. </w:t>
      </w:r>
      <w:r w:rsidR="00AF1E27">
        <w:rPr>
          <w:rFonts w:ascii="Cambria" w:hAnsi="Cambria"/>
        </w:rPr>
        <w:t xml:space="preserve">A central guiding concept in pursuing this solutions-based approach is our understanding that the process in which we are engaged is not a single leap from the war on drugs to new paradigm.  We are involved in a policy progression with </w:t>
      </w:r>
      <w:r w:rsidR="00E96DA9">
        <w:rPr>
          <w:rFonts w:ascii="Cambria" w:hAnsi="Cambria"/>
        </w:rPr>
        <w:t>many stages</w:t>
      </w:r>
      <w:r w:rsidR="00AF1E27">
        <w:rPr>
          <w:rFonts w:ascii="Cambria" w:hAnsi="Cambria"/>
        </w:rPr>
        <w:t xml:space="preserve"> of development that must be undertaken.</w:t>
      </w:r>
    </w:p>
    <w:p w14:paraId="0CBE184B" w14:textId="77777777" w:rsidR="006547B8" w:rsidRPr="00125AE7" w:rsidRDefault="006547B8" w:rsidP="00125AE7">
      <w:pPr>
        <w:ind w:left="720"/>
        <w:rPr>
          <w:rFonts w:ascii="Cambria" w:hAnsi="Cambria"/>
        </w:rPr>
      </w:pPr>
    </w:p>
    <w:p w14:paraId="73B6B7B4" w14:textId="77777777" w:rsidR="006379DA" w:rsidRPr="00125AE7" w:rsidRDefault="005B7C71" w:rsidP="00125AE7">
      <w:pPr>
        <w:numPr>
          <w:ilvl w:val="0"/>
          <w:numId w:val="36"/>
        </w:numPr>
        <w:rPr>
          <w:rFonts w:ascii="Cambria" w:hAnsi="Cambria"/>
        </w:rPr>
      </w:pPr>
      <w:r w:rsidRPr="00113ADE">
        <w:rPr>
          <w:rFonts w:ascii="Cambria" w:hAnsi="Cambria"/>
          <w:b/>
          <w:i/>
        </w:rPr>
        <w:t xml:space="preserve">Direct engagement </w:t>
      </w:r>
      <w:r w:rsidR="004B4DAB" w:rsidRPr="00113ADE">
        <w:rPr>
          <w:rFonts w:ascii="Cambria" w:hAnsi="Cambria"/>
          <w:b/>
          <w:i/>
        </w:rPr>
        <w:t xml:space="preserve">by OSF </w:t>
      </w:r>
      <w:r w:rsidRPr="00113ADE">
        <w:rPr>
          <w:rFonts w:ascii="Cambria" w:hAnsi="Cambria"/>
          <w:b/>
          <w:i/>
        </w:rPr>
        <w:t xml:space="preserve">in the drug policy reform field </w:t>
      </w:r>
      <w:r w:rsidR="006547B8" w:rsidRPr="00125AE7">
        <w:rPr>
          <w:rFonts w:ascii="Cambria" w:hAnsi="Cambria"/>
          <w:b/>
          <w:i/>
        </w:rPr>
        <w:t xml:space="preserve">is </w:t>
      </w:r>
      <w:r w:rsidR="00EA7F00" w:rsidRPr="00113ADE">
        <w:rPr>
          <w:rFonts w:ascii="Cambria" w:hAnsi="Cambria"/>
          <w:b/>
          <w:i/>
        </w:rPr>
        <w:t>necessary</w:t>
      </w:r>
      <w:r w:rsidR="006547B8" w:rsidRPr="00125AE7">
        <w:rPr>
          <w:rFonts w:ascii="Cambria" w:hAnsi="Cambria"/>
          <w:b/>
        </w:rPr>
        <w:t>.</w:t>
      </w:r>
      <w:r w:rsidR="006547B8" w:rsidRPr="00125AE7">
        <w:rPr>
          <w:rFonts w:ascii="Cambria" w:hAnsi="Cambria"/>
        </w:rPr>
        <w:t xml:space="preserve">  </w:t>
      </w:r>
      <w:r w:rsidR="00C10068" w:rsidRPr="00113ADE">
        <w:rPr>
          <w:rFonts w:ascii="Cambria" w:hAnsi="Cambria"/>
        </w:rPr>
        <w:t>OSF</w:t>
      </w:r>
      <w:r w:rsidR="00BD58E0" w:rsidRPr="00113ADE">
        <w:rPr>
          <w:rFonts w:ascii="Cambria" w:hAnsi="Cambria"/>
        </w:rPr>
        <w:t xml:space="preserve"> occupies a distinct place in the field. </w:t>
      </w:r>
      <w:r w:rsidR="00C10068" w:rsidRPr="00113ADE">
        <w:rPr>
          <w:rFonts w:ascii="Cambria" w:hAnsi="Cambria"/>
        </w:rPr>
        <w:t xml:space="preserve">No </w:t>
      </w:r>
      <w:r w:rsidR="00792F87" w:rsidRPr="00113ADE">
        <w:rPr>
          <w:rFonts w:ascii="Cambria" w:hAnsi="Cambria"/>
        </w:rPr>
        <w:t xml:space="preserve">other </w:t>
      </w:r>
      <w:r w:rsidR="004B4DAB" w:rsidRPr="00113ADE">
        <w:rPr>
          <w:rFonts w:ascii="Cambria" w:hAnsi="Cambria"/>
        </w:rPr>
        <w:t>funder</w:t>
      </w:r>
      <w:r w:rsidR="00C10068" w:rsidRPr="00113ADE">
        <w:rPr>
          <w:rFonts w:ascii="Cambria" w:hAnsi="Cambria"/>
        </w:rPr>
        <w:t xml:space="preserve"> commits the </w:t>
      </w:r>
      <w:r w:rsidR="004B4DAB" w:rsidRPr="00113ADE">
        <w:rPr>
          <w:rFonts w:ascii="Cambria" w:hAnsi="Cambria"/>
        </w:rPr>
        <w:t xml:space="preserve">resources </w:t>
      </w:r>
      <w:r w:rsidR="00C10068" w:rsidRPr="00113ADE">
        <w:rPr>
          <w:rFonts w:ascii="Cambria" w:hAnsi="Cambria"/>
        </w:rPr>
        <w:t xml:space="preserve">and possesses the </w:t>
      </w:r>
      <w:r w:rsidR="00BD58E0" w:rsidRPr="00113ADE">
        <w:rPr>
          <w:rFonts w:ascii="Cambria" w:hAnsi="Cambria"/>
        </w:rPr>
        <w:t xml:space="preserve">on-staff issue expertise </w:t>
      </w:r>
      <w:r w:rsidR="004B4DAB" w:rsidRPr="00113ADE">
        <w:rPr>
          <w:rFonts w:ascii="Cambria" w:hAnsi="Cambria"/>
        </w:rPr>
        <w:t xml:space="preserve">to support the partnerships and solutions-based efforts needed to move drug policy reform forward.  </w:t>
      </w:r>
      <w:r w:rsidR="00C10068" w:rsidRPr="00113ADE">
        <w:rPr>
          <w:rFonts w:ascii="Cambria" w:hAnsi="Cambria"/>
        </w:rPr>
        <w:t>Similarly, CNDP’s direct engagement with the field is q</w:t>
      </w:r>
      <w:r w:rsidR="004C3074" w:rsidRPr="00113ADE">
        <w:rPr>
          <w:rFonts w:ascii="Cambria" w:hAnsi="Cambria"/>
        </w:rPr>
        <w:t>ualitatively different from organizations within the field, e</w:t>
      </w:r>
      <w:r w:rsidR="004B4DAB" w:rsidRPr="00113ADE">
        <w:rPr>
          <w:rFonts w:ascii="Cambria" w:hAnsi="Cambria"/>
        </w:rPr>
        <w:t xml:space="preserve">ach </w:t>
      </w:r>
      <w:r w:rsidR="004C3074" w:rsidRPr="00113ADE">
        <w:rPr>
          <w:rFonts w:ascii="Cambria" w:hAnsi="Cambria"/>
        </w:rPr>
        <w:t>of which has or is attempting to stake out its own space</w:t>
      </w:r>
      <w:r w:rsidR="004B4DAB" w:rsidRPr="00113ADE">
        <w:rPr>
          <w:rFonts w:ascii="Cambria" w:hAnsi="Cambria"/>
        </w:rPr>
        <w:t xml:space="preserve">.  Even the Drug Policy Alliance, with its </w:t>
      </w:r>
      <w:r w:rsidR="00C10068" w:rsidRPr="00113ADE">
        <w:rPr>
          <w:rFonts w:ascii="Cambria" w:hAnsi="Cambria"/>
        </w:rPr>
        <w:t>grantmaking program</w:t>
      </w:r>
      <w:r w:rsidR="006561DA">
        <w:rPr>
          <w:rFonts w:ascii="Cambria" w:hAnsi="Cambria"/>
        </w:rPr>
        <w:t xml:space="preserve">, </w:t>
      </w:r>
      <w:r w:rsidR="00BD58E0" w:rsidRPr="00113ADE">
        <w:rPr>
          <w:rFonts w:ascii="Cambria" w:hAnsi="Cambria"/>
        </w:rPr>
        <w:t>capable</w:t>
      </w:r>
      <w:r w:rsidR="006561DA">
        <w:rPr>
          <w:rFonts w:ascii="Cambria" w:hAnsi="Cambria"/>
        </w:rPr>
        <w:t xml:space="preserve"> and </w:t>
      </w:r>
      <w:r w:rsidR="00E86FF7">
        <w:rPr>
          <w:rFonts w:ascii="Cambria" w:hAnsi="Cambria"/>
        </w:rPr>
        <w:t xml:space="preserve">relatively large </w:t>
      </w:r>
      <w:r w:rsidR="00BD58E0" w:rsidRPr="00113ADE">
        <w:rPr>
          <w:rFonts w:ascii="Cambria" w:hAnsi="Cambria"/>
        </w:rPr>
        <w:t xml:space="preserve">staff, </w:t>
      </w:r>
      <w:r w:rsidR="006561DA">
        <w:rPr>
          <w:rFonts w:ascii="Cambria" w:hAnsi="Cambria"/>
        </w:rPr>
        <w:t xml:space="preserve">and high profile leader </w:t>
      </w:r>
      <w:r w:rsidR="00E86FF7">
        <w:rPr>
          <w:rFonts w:ascii="Cambria" w:hAnsi="Cambria"/>
        </w:rPr>
        <w:t>does not</w:t>
      </w:r>
      <w:r w:rsidR="00792F87" w:rsidRPr="00113ADE">
        <w:rPr>
          <w:rFonts w:ascii="Cambria" w:hAnsi="Cambria"/>
        </w:rPr>
        <w:t xml:space="preserve"> effectively </w:t>
      </w:r>
      <w:r w:rsidR="00BD58E0" w:rsidRPr="00113ADE">
        <w:rPr>
          <w:rFonts w:ascii="Cambria" w:hAnsi="Cambria"/>
        </w:rPr>
        <w:t xml:space="preserve">support partnerships and solutions-based work that it does not lead.  </w:t>
      </w:r>
    </w:p>
    <w:p w14:paraId="43B27904" w14:textId="77777777" w:rsidR="00A409E1" w:rsidRPr="00125AE7" w:rsidRDefault="00A409E1" w:rsidP="00125AE7">
      <w:pPr>
        <w:rPr>
          <w:rFonts w:ascii="Cambria" w:hAnsi="Cambria"/>
        </w:rPr>
      </w:pPr>
    </w:p>
    <w:p w14:paraId="30D95569" w14:textId="77777777" w:rsidR="00750621" w:rsidRPr="00125AE7" w:rsidRDefault="00477825" w:rsidP="00125AE7">
      <w:pPr>
        <w:rPr>
          <w:rFonts w:ascii="Cambria" w:hAnsi="Cambria"/>
          <w:b/>
        </w:rPr>
      </w:pPr>
      <w:r w:rsidRPr="00113ADE">
        <w:rPr>
          <w:rFonts w:ascii="Cambria" w:hAnsi="Cambria"/>
          <w:b/>
        </w:rPr>
        <w:t xml:space="preserve">CONTEXT OF </w:t>
      </w:r>
      <w:r w:rsidRPr="00125AE7">
        <w:rPr>
          <w:rFonts w:ascii="Cambria" w:hAnsi="Cambria"/>
          <w:b/>
        </w:rPr>
        <w:t xml:space="preserve">U.S. </w:t>
      </w:r>
      <w:r w:rsidR="00762B2B" w:rsidRPr="00125AE7">
        <w:rPr>
          <w:rFonts w:ascii="Cambria" w:hAnsi="Cambria"/>
          <w:b/>
        </w:rPr>
        <w:t>DRUG POLICY REFORM</w:t>
      </w:r>
    </w:p>
    <w:p w14:paraId="1CAE7783" w14:textId="77777777" w:rsidR="00424F90" w:rsidRPr="00125AE7" w:rsidRDefault="00424F90" w:rsidP="00125AE7">
      <w:pPr>
        <w:rPr>
          <w:rFonts w:ascii="Cambria" w:hAnsi="Cambria"/>
        </w:rPr>
      </w:pPr>
    </w:p>
    <w:p w14:paraId="6C2B9250" w14:textId="1D1CFCB6" w:rsidR="00477825" w:rsidRPr="00113ADE" w:rsidRDefault="00240D67" w:rsidP="00125AE7">
      <w:pPr>
        <w:rPr>
          <w:rFonts w:ascii="Cambria" w:hAnsi="Cambria"/>
        </w:rPr>
      </w:pPr>
      <w:r>
        <w:rPr>
          <w:rFonts w:ascii="Cambria" w:hAnsi="Cambria"/>
        </w:rPr>
        <w:t>T</w:t>
      </w:r>
      <w:r w:rsidR="002E3ED3" w:rsidRPr="00125AE7">
        <w:rPr>
          <w:rFonts w:ascii="Cambria" w:hAnsi="Cambria"/>
        </w:rPr>
        <w:t>he</w:t>
      </w:r>
      <w:r w:rsidR="00A959CB" w:rsidRPr="00125AE7">
        <w:rPr>
          <w:rFonts w:ascii="Cambria" w:hAnsi="Cambria"/>
        </w:rPr>
        <w:t xml:space="preserve"> keystone of </w:t>
      </w:r>
      <w:r w:rsidR="0094355E" w:rsidRPr="00125AE7">
        <w:rPr>
          <w:rFonts w:ascii="Cambria" w:hAnsi="Cambria"/>
        </w:rPr>
        <w:t xml:space="preserve">current </w:t>
      </w:r>
      <w:r w:rsidR="00A959CB" w:rsidRPr="00125AE7">
        <w:rPr>
          <w:rFonts w:ascii="Cambria" w:hAnsi="Cambria"/>
        </w:rPr>
        <w:t>drug policy</w:t>
      </w:r>
      <w:r w:rsidR="002E3ED3" w:rsidRPr="00125AE7">
        <w:rPr>
          <w:rFonts w:ascii="Cambria" w:hAnsi="Cambria"/>
        </w:rPr>
        <w:t xml:space="preserve"> </w:t>
      </w:r>
      <w:r w:rsidR="00A959CB" w:rsidRPr="00125AE7">
        <w:rPr>
          <w:rFonts w:ascii="Cambria" w:hAnsi="Cambria"/>
        </w:rPr>
        <w:t xml:space="preserve">in the United States </w:t>
      </w:r>
      <w:r w:rsidR="002E3ED3" w:rsidRPr="00125AE7">
        <w:rPr>
          <w:rFonts w:ascii="Cambria" w:hAnsi="Cambria"/>
        </w:rPr>
        <w:t xml:space="preserve">is a </w:t>
      </w:r>
      <w:r w:rsidR="00AB69C4" w:rsidRPr="00125AE7">
        <w:rPr>
          <w:rFonts w:ascii="Cambria" w:hAnsi="Cambria"/>
        </w:rPr>
        <w:t>false H</w:t>
      </w:r>
      <w:r w:rsidR="004728CA" w:rsidRPr="00125AE7">
        <w:rPr>
          <w:rFonts w:ascii="Cambria" w:hAnsi="Cambria"/>
        </w:rPr>
        <w:t>obson’s choice</w:t>
      </w:r>
      <w:r w:rsidR="00921618" w:rsidRPr="00125AE7">
        <w:rPr>
          <w:rFonts w:ascii="Cambria" w:hAnsi="Cambria"/>
        </w:rPr>
        <w:t xml:space="preserve">: that </w:t>
      </w:r>
      <w:r w:rsidR="00A70E5E" w:rsidRPr="00125AE7">
        <w:rPr>
          <w:rFonts w:ascii="Cambria" w:hAnsi="Cambria"/>
        </w:rPr>
        <w:t>society must</w:t>
      </w:r>
      <w:r w:rsidR="00C62C0F" w:rsidRPr="00125AE7">
        <w:rPr>
          <w:rFonts w:ascii="Cambria" w:hAnsi="Cambria"/>
        </w:rPr>
        <w:t xml:space="preserve"> </w:t>
      </w:r>
      <w:r w:rsidR="00477825" w:rsidRPr="00113ADE">
        <w:rPr>
          <w:rFonts w:ascii="Cambria" w:hAnsi="Cambria"/>
        </w:rPr>
        <w:t xml:space="preserve">choose </w:t>
      </w:r>
      <w:r w:rsidR="00C62C0F" w:rsidRPr="00125AE7">
        <w:rPr>
          <w:rFonts w:ascii="Cambria" w:hAnsi="Cambria"/>
        </w:rPr>
        <w:t xml:space="preserve">either </w:t>
      </w:r>
      <w:r w:rsidR="00477825" w:rsidRPr="00113ADE">
        <w:rPr>
          <w:rFonts w:ascii="Cambria" w:hAnsi="Cambria"/>
        </w:rPr>
        <w:t xml:space="preserve">to </w:t>
      </w:r>
      <w:r w:rsidR="00A6229F" w:rsidRPr="00125AE7">
        <w:rPr>
          <w:rFonts w:ascii="Cambria" w:hAnsi="Cambria"/>
        </w:rPr>
        <w:t xml:space="preserve">selectively </w:t>
      </w:r>
      <w:r w:rsidR="00921618" w:rsidRPr="00125AE7">
        <w:rPr>
          <w:rFonts w:ascii="Cambria" w:hAnsi="Cambria"/>
        </w:rPr>
        <w:t>criminaliz</w:t>
      </w:r>
      <w:r w:rsidR="00A70E5E" w:rsidRPr="00125AE7">
        <w:rPr>
          <w:rFonts w:ascii="Cambria" w:hAnsi="Cambria"/>
        </w:rPr>
        <w:t>e</w:t>
      </w:r>
      <w:r w:rsidR="00921618" w:rsidRPr="00125AE7">
        <w:rPr>
          <w:rFonts w:ascii="Cambria" w:hAnsi="Cambria"/>
        </w:rPr>
        <w:t xml:space="preserve"> drug users and sellers </w:t>
      </w:r>
      <w:r w:rsidR="00A70E5E" w:rsidRPr="00125AE7">
        <w:rPr>
          <w:rFonts w:ascii="Cambria" w:hAnsi="Cambria"/>
        </w:rPr>
        <w:t xml:space="preserve">or “surrender” to addiction and drug related crime.  </w:t>
      </w:r>
      <w:r w:rsidR="00162913" w:rsidRPr="00125AE7">
        <w:rPr>
          <w:rFonts w:ascii="Cambria" w:hAnsi="Cambria"/>
        </w:rPr>
        <w:t>During</w:t>
      </w:r>
      <w:r w:rsidR="00A6229F" w:rsidRPr="00125AE7">
        <w:rPr>
          <w:rFonts w:ascii="Cambria" w:hAnsi="Cambria"/>
        </w:rPr>
        <w:t xml:space="preserve"> the past </w:t>
      </w:r>
      <w:r w:rsidR="005D4162" w:rsidRPr="00125AE7">
        <w:rPr>
          <w:rFonts w:ascii="Cambria" w:hAnsi="Cambria"/>
        </w:rPr>
        <w:t>four decades</w:t>
      </w:r>
      <w:r w:rsidR="00C62C0F" w:rsidRPr="00125AE7">
        <w:rPr>
          <w:rFonts w:ascii="Cambria" w:hAnsi="Cambria"/>
        </w:rPr>
        <w:t xml:space="preserve">, </w:t>
      </w:r>
      <w:r w:rsidR="00A6229F" w:rsidRPr="00125AE7">
        <w:rPr>
          <w:rFonts w:ascii="Cambria" w:hAnsi="Cambria"/>
        </w:rPr>
        <w:t xml:space="preserve">this fallacy </w:t>
      </w:r>
      <w:r w:rsidR="00A22A98" w:rsidRPr="00125AE7">
        <w:rPr>
          <w:rFonts w:ascii="Cambria" w:hAnsi="Cambria"/>
        </w:rPr>
        <w:t xml:space="preserve">has </w:t>
      </w:r>
      <w:r w:rsidR="009148CF" w:rsidRPr="00125AE7">
        <w:rPr>
          <w:rFonts w:ascii="Cambria" w:hAnsi="Cambria"/>
        </w:rPr>
        <w:t>perpetuated a</w:t>
      </w:r>
      <w:r w:rsidR="00A22A98" w:rsidRPr="00125AE7">
        <w:rPr>
          <w:rFonts w:ascii="Cambria" w:hAnsi="Cambria"/>
        </w:rPr>
        <w:t xml:space="preserve"> punitive </w:t>
      </w:r>
      <w:r w:rsidR="009148CF" w:rsidRPr="00125AE7">
        <w:rPr>
          <w:rFonts w:ascii="Cambria" w:hAnsi="Cambria"/>
        </w:rPr>
        <w:t>response</w:t>
      </w:r>
      <w:r w:rsidR="00A22A98" w:rsidRPr="00125AE7">
        <w:rPr>
          <w:rFonts w:ascii="Cambria" w:hAnsi="Cambria"/>
        </w:rPr>
        <w:t xml:space="preserve"> to drug use that </w:t>
      </w:r>
      <w:r w:rsidR="00EB1433" w:rsidRPr="00125AE7">
        <w:rPr>
          <w:rFonts w:ascii="Cambria" w:hAnsi="Cambria"/>
        </w:rPr>
        <w:t>metastasized</w:t>
      </w:r>
      <w:r w:rsidR="00A71A6C" w:rsidRPr="00125AE7">
        <w:rPr>
          <w:rFonts w:ascii="Cambria" w:hAnsi="Cambria"/>
        </w:rPr>
        <w:t xml:space="preserve"> </w:t>
      </w:r>
      <w:r w:rsidR="00FE71FA">
        <w:rPr>
          <w:rFonts w:ascii="Cambria" w:hAnsi="Cambria"/>
        </w:rPr>
        <w:t xml:space="preserve">and </w:t>
      </w:r>
      <w:r>
        <w:rPr>
          <w:rFonts w:ascii="Cambria" w:hAnsi="Cambria"/>
        </w:rPr>
        <w:t>contribute</w:t>
      </w:r>
      <w:r w:rsidR="00E34292">
        <w:rPr>
          <w:rFonts w:ascii="Cambria" w:hAnsi="Cambria"/>
        </w:rPr>
        <w:t>s</w:t>
      </w:r>
      <w:r>
        <w:rPr>
          <w:rFonts w:ascii="Cambria" w:hAnsi="Cambria"/>
        </w:rPr>
        <w:t xml:space="preserve"> to</w:t>
      </w:r>
      <w:r w:rsidRPr="00125AE7">
        <w:rPr>
          <w:rFonts w:ascii="Cambria" w:hAnsi="Cambria"/>
        </w:rPr>
        <w:t xml:space="preserve"> </w:t>
      </w:r>
      <w:r w:rsidR="00A71A6C" w:rsidRPr="00125AE7">
        <w:rPr>
          <w:rFonts w:ascii="Cambria" w:hAnsi="Cambria"/>
        </w:rPr>
        <w:t xml:space="preserve">a </w:t>
      </w:r>
      <w:r w:rsidR="00C62C0F" w:rsidRPr="00125AE7">
        <w:rPr>
          <w:rFonts w:ascii="Cambria" w:hAnsi="Cambria"/>
        </w:rPr>
        <w:t xml:space="preserve">system </w:t>
      </w:r>
      <w:r w:rsidR="00EB1433" w:rsidRPr="00125AE7">
        <w:rPr>
          <w:rFonts w:ascii="Cambria" w:hAnsi="Cambria"/>
        </w:rPr>
        <w:t xml:space="preserve">responsible for </w:t>
      </w:r>
      <w:r w:rsidR="00A71A6C" w:rsidRPr="00125AE7">
        <w:rPr>
          <w:rFonts w:ascii="Cambria" w:hAnsi="Cambria"/>
        </w:rPr>
        <w:t xml:space="preserve">massive levels of incarceration, </w:t>
      </w:r>
      <w:r w:rsidR="00855B29" w:rsidRPr="00125AE7">
        <w:rPr>
          <w:rFonts w:ascii="Cambria" w:hAnsi="Cambria"/>
        </w:rPr>
        <w:t>violation</w:t>
      </w:r>
      <w:r w:rsidR="00A6229F" w:rsidRPr="00125AE7">
        <w:rPr>
          <w:rFonts w:ascii="Cambria" w:hAnsi="Cambria"/>
        </w:rPr>
        <w:t xml:space="preserve"> of civil and human rights, </w:t>
      </w:r>
      <w:r w:rsidR="00A71A6C" w:rsidRPr="00125AE7">
        <w:rPr>
          <w:rFonts w:ascii="Cambria" w:hAnsi="Cambria"/>
        </w:rPr>
        <w:t xml:space="preserve">political and economic disenfranchisement, </w:t>
      </w:r>
      <w:r w:rsidR="00855B29" w:rsidRPr="00125AE7">
        <w:rPr>
          <w:rFonts w:ascii="Cambria" w:hAnsi="Cambria"/>
        </w:rPr>
        <w:t>denial of essential</w:t>
      </w:r>
      <w:r w:rsidR="00A71A6C" w:rsidRPr="00125AE7">
        <w:rPr>
          <w:rFonts w:ascii="Cambria" w:hAnsi="Cambria"/>
        </w:rPr>
        <w:t xml:space="preserve"> health care, and a </w:t>
      </w:r>
      <w:r w:rsidR="00D549BD" w:rsidRPr="00125AE7">
        <w:rPr>
          <w:rFonts w:ascii="Cambria" w:hAnsi="Cambria"/>
        </w:rPr>
        <w:t>host</w:t>
      </w:r>
      <w:r w:rsidR="00A71A6C" w:rsidRPr="00125AE7">
        <w:rPr>
          <w:rFonts w:ascii="Cambria" w:hAnsi="Cambria"/>
        </w:rPr>
        <w:t xml:space="preserve"> of other direct and collateral harms. </w:t>
      </w:r>
      <w:r w:rsidR="002C12B1" w:rsidRPr="00125AE7">
        <w:rPr>
          <w:rFonts w:ascii="Cambria" w:hAnsi="Cambria"/>
        </w:rPr>
        <w:t xml:space="preserve"> </w:t>
      </w:r>
    </w:p>
    <w:p w14:paraId="5E98E9F7" w14:textId="77777777" w:rsidR="00477825" w:rsidRPr="00113ADE" w:rsidRDefault="00477825" w:rsidP="00125AE7">
      <w:pPr>
        <w:rPr>
          <w:rFonts w:ascii="Cambria" w:hAnsi="Cambria"/>
        </w:rPr>
      </w:pPr>
    </w:p>
    <w:p w14:paraId="2B549FF1" w14:textId="77777777" w:rsidR="00D1411B" w:rsidRDefault="00BF241B" w:rsidP="00125AE7">
      <w:pPr>
        <w:rPr>
          <w:rFonts w:ascii="Cambria" w:hAnsi="Cambria"/>
        </w:rPr>
      </w:pPr>
      <w:r w:rsidRPr="00113ADE">
        <w:rPr>
          <w:rFonts w:ascii="Cambria" w:hAnsi="Cambria"/>
        </w:rPr>
        <w:t>T</w:t>
      </w:r>
      <w:r w:rsidR="005D4162" w:rsidRPr="00125AE7">
        <w:rPr>
          <w:rFonts w:ascii="Cambria" w:hAnsi="Cambria"/>
        </w:rPr>
        <w:t>his</w:t>
      </w:r>
      <w:r w:rsidR="00A71A6C" w:rsidRPr="00125AE7">
        <w:rPr>
          <w:rFonts w:ascii="Cambria" w:hAnsi="Cambria"/>
        </w:rPr>
        <w:t xml:space="preserve"> system</w:t>
      </w:r>
      <w:r w:rsidRPr="00113ADE">
        <w:rPr>
          <w:rFonts w:ascii="Cambria" w:hAnsi="Cambria"/>
        </w:rPr>
        <w:t>, however,</w:t>
      </w:r>
      <w:r w:rsidR="00A71A6C" w:rsidRPr="00125AE7">
        <w:rPr>
          <w:rFonts w:ascii="Cambria" w:hAnsi="Cambria"/>
        </w:rPr>
        <w:t xml:space="preserve"> </w:t>
      </w:r>
      <w:r w:rsidR="00B4603E" w:rsidRPr="00125AE7">
        <w:rPr>
          <w:rFonts w:ascii="Cambria" w:hAnsi="Cambria"/>
        </w:rPr>
        <w:t xml:space="preserve">has become </w:t>
      </w:r>
      <w:r w:rsidR="00A71A6C" w:rsidRPr="00125AE7">
        <w:rPr>
          <w:rFonts w:ascii="Cambria" w:hAnsi="Cambria"/>
        </w:rPr>
        <w:t>increasingly</w:t>
      </w:r>
      <w:r w:rsidR="00A566A9" w:rsidRPr="00125AE7">
        <w:rPr>
          <w:rFonts w:ascii="Cambria" w:hAnsi="Cambria"/>
        </w:rPr>
        <w:t xml:space="preserve"> </w:t>
      </w:r>
      <w:r w:rsidR="0083745A" w:rsidRPr="00125AE7">
        <w:rPr>
          <w:rFonts w:ascii="Cambria" w:hAnsi="Cambria"/>
        </w:rPr>
        <w:t>difficult to sustain</w:t>
      </w:r>
      <w:r w:rsidR="004E16FA" w:rsidRPr="00125AE7">
        <w:rPr>
          <w:rFonts w:ascii="Cambria" w:hAnsi="Cambria"/>
        </w:rPr>
        <w:t xml:space="preserve"> </w:t>
      </w:r>
      <w:r w:rsidR="00C7239C" w:rsidRPr="00125AE7">
        <w:rPr>
          <w:rFonts w:ascii="Cambria" w:hAnsi="Cambria"/>
        </w:rPr>
        <w:t xml:space="preserve">with </w:t>
      </w:r>
      <w:r w:rsidR="005D4162" w:rsidRPr="00125AE7">
        <w:rPr>
          <w:rFonts w:ascii="Cambria" w:hAnsi="Cambria"/>
        </w:rPr>
        <w:t xml:space="preserve">the </w:t>
      </w:r>
      <w:r w:rsidR="00B4603E" w:rsidRPr="00125AE7">
        <w:rPr>
          <w:rFonts w:ascii="Cambria" w:hAnsi="Cambria"/>
        </w:rPr>
        <w:t>tightening of local, state and federal budgets</w:t>
      </w:r>
      <w:r w:rsidR="005D4162" w:rsidRPr="00125AE7">
        <w:rPr>
          <w:rFonts w:ascii="Cambria" w:hAnsi="Cambria"/>
        </w:rPr>
        <w:t xml:space="preserve"> and </w:t>
      </w:r>
      <w:r w:rsidR="00B4603E" w:rsidRPr="00125AE7">
        <w:rPr>
          <w:rFonts w:ascii="Cambria" w:hAnsi="Cambria"/>
        </w:rPr>
        <w:t xml:space="preserve">with a </w:t>
      </w:r>
      <w:r w:rsidR="00C7239C" w:rsidRPr="00125AE7">
        <w:rPr>
          <w:rFonts w:ascii="Cambria" w:hAnsi="Cambria"/>
        </w:rPr>
        <w:t xml:space="preserve">declining public </w:t>
      </w:r>
      <w:r w:rsidR="00855B29" w:rsidRPr="00125AE7">
        <w:rPr>
          <w:rFonts w:ascii="Cambria" w:hAnsi="Cambria"/>
        </w:rPr>
        <w:t xml:space="preserve">confidence in the ability of </w:t>
      </w:r>
      <w:r w:rsidR="004E16FA" w:rsidRPr="00125AE7">
        <w:rPr>
          <w:rFonts w:ascii="Cambria" w:hAnsi="Cambria"/>
        </w:rPr>
        <w:t xml:space="preserve">punitive </w:t>
      </w:r>
      <w:r w:rsidR="00855B29" w:rsidRPr="00125AE7">
        <w:rPr>
          <w:rFonts w:ascii="Cambria" w:hAnsi="Cambria"/>
        </w:rPr>
        <w:t>responses</w:t>
      </w:r>
      <w:r w:rsidR="004E16FA" w:rsidRPr="00125AE7">
        <w:rPr>
          <w:rFonts w:ascii="Cambria" w:hAnsi="Cambria"/>
        </w:rPr>
        <w:t xml:space="preserve"> to </w:t>
      </w:r>
      <w:r w:rsidR="00A566A9" w:rsidRPr="00125AE7">
        <w:rPr>
          <w:rFonts w:ascii="Cambria" w:hAnsi="Cambria"/>
        </w:rPr>
        <w:t>reduc</w:t>
      </w:r>
      <w:r w:rsidR="004E16FA" w:rsidRPr="00125AE7">
        <w:rPr>
          <w:rFonts w:ascii="Cambria" w:hAnsi="Cambria"/>
        </w:rPr>
        <w:t>e</w:t>
      </w:r>
      <w:r w:rsidR="00A566A9" w:rsidRPr="00125AE7">
        <w:rPr>
          <w:rFonts w:ascii="Cambria" w:hAnsi="Cambria"/>
        </w:rPr>
        <w:t xml:space="preserve"> the potential harms of</w:t>
      </w:r>
      <w:r w:rsidR="00A63310" w:rsidRPr="00125AE7">
        <w:rPr>
          <w:rFonts w:ascii="Cambria" w:hAnsi="Cambria"/>
        </w:rPr>
        <w:t xml:space="preserve"> drug use </w:t>
      </w:r>
      <w:r w:rsidR="00E14DA8" w:rsidRPr="00125AE7">
        <w:rPr>
          <w:rFonts w:ascii="Cambria" w:hAnsi="Cambria"/>
        </w:rPr>
        <w:t>and markets</w:t>
      </w:r>
      <w:r w:rsidR="008348C7" w:rsidRPr="00125AE7">
        <w:rPr>
          <w:rFonts w:ascii="Cambria" w:hAnsi="Cambria"/>
        </w:rPr>
        <w:t>.</w:t>
      </w:r>
      <w:r w:rsidR="00F47B34" w:rsidRPr="00125AE7">
        <w:rPr>
          <w:rFonts w:ascii="Cambria" w:hAnsi="Cambria"/>
        </w:rPr>
        <w:t xml:space="preserve"> </w:t>
      </w:r>
      <w:r w:rsidRPr="00113ADE">
        <w:rPr>
          <w:rFonts w:ascii="Cambria" w:hAnsi="Cambria"/>
        </w:rPr>
        <w:t>Evidence of a</w:t>
      </w:r>
      <w:r w:rsidR="009148CF" w:rsidRPr="00125AE7">
        <w:rPr>
          <w:rFonts w:ascii="Cambria" w:hAnsi="Cambria"/>
        </w:rPr>
        <w:t xml:space="preserve"> </w:t>
      </w:r>
      <w:r w:rsidR="00F47B34" w:rsidRPr="00125AE7">
        <w:rPr>
          <w:rFonts w:ascii="Cambria" w:hAnsi="Cambria"/>
        </w:rPr>
        <w:t>breakdown in pub</w:t>
      </w:r>
      <w:r w:rsidR="009148CF" w:rsidRPr="00125AE7">
        <w:rPr>
          <w:rFonts w:ascii="Cambria" w:hAnsi="Cambria"/>
        </w:rPr>
        <w:t>l</w:t>
      </w:r>
      <w:r w:rsidR="00F47B34" w:rsidRPr="00125AE7">
        <w:rPr>
          <w:rFonts w:ascii="Cambria" w:hAnsi="Cambria"/>
        </w:rPr>
        <w:t xml:space="preserve">ic support for punitive </w:t>
      </w:r>
      <w:r w:rsidR="00EF63DF">
        <w:rPr>
          <w:rFonts w:ascii="Cambria" w:hAnsi="Cambria"/>
        </w:rPr>
        <w:t>drug policies has been</w:t>
      </w:r>
      <w:r w:rsidRPr="00113ADE">
        <w:rPr>
          <w:rFonts w:ascii="Cambria" w:hAnsi="Cambria"/>
        </w:rPr>
        <w:t xml:space="preserve"> dramatic. </w:t>
      </w:r>
      <w:r w:rsidR="00FE71FA" w:rsidRPr="00113ADE">
        <w:rPr>
          <w:rFonts w:ascii="Cambria" w:hAnsi="Cambria"/>
        </w:rPr>
        <w:t>M</w:t>
      </w:r>
      <w:r w:rsidR="00FE71FA" w:rsidRPr="009E0D42">
        <w:rPr>
          <w:rFonts w:ascii="Cambria" w:hAnsi="Cambria"/>
        </w:rPr>
        <w:t>ost recently a</w:t>
      </w:r>
      <w:r w:rsidR="00FE71FA" w:rsidRPr="00113ADE">
        <w:rPr>
          <w:rFonts w:ascii="Cambria" w:hAnsi="Cambria"/>
        </w:rPr>
        <w:t xml:space="preserve"> </w:t>
      </w:r>
      <w:r w:rsidR="00FE71FA" w:rsidRPr="009E0D42">
        <w:rPr>
          <w:rFonts w:ascii="Cambria" w:hAnsi="Cambria"/>
        </w:rPr>
        <w:t xml:space="preserve">Pew Research Center poll </w:t>
      </w:r>
      <w:r w:rsidR="00FE71FA" w:rsidRPr="00113ADE">
        <w:rPr>
          <w:rFonts w:ascii="Cambria" w:hAnsi="Cambria"/>
        </w:rPr>
        <w:t xml:space="preserve">released on </w:t>
      </w:r>
      <w:r w:rsidR="00FE71FA" w:rsidRPr="00BF241B">
        <w:rPr>
          <w:rFonts w:ascii="Cambria" w:hAnsi="Cambria"/>
        </w:rPr>
        <w:t xml:space="preserve">April 2, 2014 </w:t>
      </w:r>
      <w:r w:rsidR="00FE71FA" w:rsidRPr="009E0D42">
        <w:rPr>
          <w:rFonts w:ascii="Cambria" w:hAnsi="Cambria"/>
        </w:rPr>
        <w:t>found that 67% of Americans (including 51% of Republicans) favor treatment over arrest</w:t>
      </w:r>
      <w:r w:rsidR="00FE71FA" w:rsidRPr="00113ADE">
        <w:rPr>
          <w:rFonts w:ascii="Cambria" w:hAnsi="Cambria"/>
        </w:rPr>
        <w:t>,</w:t>
      </w:r>
      <w:r w:rsidR="00FE71FA" w:rsidRPr="009E0D42">
        <w:rPr>
          <w:rFonts w:ascii="Cambria" w:hAnsi="Cambria"/>
        </w:rPr>
        <w:t xml:space="preserve"> and only 26% feel that the government should continue to emphasize arrest and prosecution of people who use heroin and cocaine.</w:t>
      </w:r>
      <w:r w:rsidRPr="00113ADE">
        <w:rPr>
          <w:rFonts w:ascii="Cambria" w:hAnsi="Cambria"/>
        </w:rPr>
        <w:t xml:space="preserve">  </w:t>
      </w:r>
      <w:r w:rsidR="007C2FBC" w:rsidRPr="00113ADE">
        <w:rPr>
          <w:rFonts w:ascii="Cambria" w:hAnsi="Cambria"/>
        </w:rPr>
        <w:t xml:space="preserve">Voter </w:t>
      </w:r>
      <w:r w:rsidR="00D1411B">
        <w:rPr>
          <w:rFonts w:ascii="Cambria" w:hAnsi="Cambria"/>
        </w:rPr>
        <w:t>approval of</w:t>
      </w:r>
      <w:r w:rsidR="007C2FBC" w:rsidRPr="00113ADE">
        <w:rPr>
          <w:rFonts w:ascii="Cambria" w:hAnsi="Cambria"/>
        </w:rPr>
        <w:t xml:space="preserve"> </w:t>
      </w:r>
      <w:r w:rsidR="000B07B0">
        <w:rPr>
          <w:rFonts w:ascii="Cambria" w:hAnsi="Cambria"/>
        </w:rPr>
        <w:t xml:space="preserve">regulated access to </w:t>
      </w:r>
      <w:r w:rsidR="007C2FBC" w:rsidRPr="00113ADE">
        <w:rPr>
          <w:rFonts w:ascii="Cambria" w:hAnsi="Cambria"/>
        </w:rPr>
        <w:t xml:space="preserve">marijuana in Washington and Oregon </w:t>
      </w:r>
      <w:r w:rsidR="000B07B0">
        <w:rPr>
          <w:rFonts w:ascii="Cambria" w:hAnsi="Cambria"/>
        </w:rPr>
        <w:t>in</w:t>
      </w:r>
      <w:r w:rsidR="007C2FBC" w:rsidRPr="00113ADE">
        <w:rPr>
          <w:rFonts w:ascii="Cambria" w:hAnsi="Cambria"/>
        </w:rPr>
        <w:t xml:space="preserve"> 2012 </w:t>
      </w:r>
      <w:r w:rsidR="000B07B0">
        <w:rPr>
          <w:rFonts w:ascii="Cambria" w:hAnsi="Cambria"/>
        </w:rPr>
        <w:t>was an even more dramatic example of the willingness of voters in certain states to try a different approach</w:t>
      </w:r>
      <w:r w:rsidR="00D1411B">
        <w:rPr>
          <w:rFonts w:ascii="Cambria" w:hAnsi="Cambria"/>
        </w:rPr>
        <w:t>, albeit with the most commonly used illegal drug</w:t>
      </w:r>
      <w:r w:rsidR="000B07B0">
        <w:rPr>
          <w:rFonts w:ascii="Cambria" w:hAnsi="Cambria"/>
        </w:rPr>
        <w:t xml:space="preserve">. </w:t>
      </w:r>
    </w:p>
    <w:p w14:paraId="6888BA03" w14:textId="77777777" w:rsidR="00D1411B" w:rsidRDefault="00D1411B" w:rsidP="00125AE7">
      <w:pPr>
        <w:rPr>
          <w:rFonts w:ascii="Cambria" w:hAnsi="Cambria"/>
        </w:rPr>
      </w:pPr>
    </w:p>
    <w:p w14:paraId="605500A5" w14:textId="3BCEA7C1" w:rsidR="00D1411B" w:rsidRDefault="00D1411B" w:rsidP="00125AE7">
      <w:pPr>
        <w:rPr>
          <w:rFonts w:ascii="Cambria" w:hAnsi="Cambria"/>
        </w:rPr>
      </w:pPr>
      <w:r>
        <w:rPr>
          <w:rFonts w:ascii="Cambria" w:hAnsi="Cambria"/>
        </w:rPr>
        <w:t xml:space="preserve">Other </w:t>
      </w:r>
      <w:r w:rsidR="008A6C82">
        <w:rPr>
          <w:rFonts w:ascii="Cambria" w:hAnsi="Cambria"/>
        </w:rPr>
        <w:t xml:space="preserve">developments in recent years indicate positive movement. </w:t>
      </w:r>
      <w:r w:rsidR="00FE71FA">
        <w:rPr>
          <w:rFonts w:ascii="Cambria" w:hAnsi="Cambria"/>
        </w:rPr>
        <w:t>I</w:t>
      </w:r>
      <w:r w:rsidR="008A6C82">
        <w:rPr>
          <w:rFonts w:ascii="Cambria" w:hAnsi="Cambria"/>
        </w:rPr>
        <w:t>mplementation of national health care reform under the Affordable Care Act, for all its</w:t>
      </w:r>
      <w:r w:rsidR="001424BD">
        <w:rPr>
          <w:rFonts w:ascii="Cambria" w:hAnsi="Cambria"/>
        </w:rPr>
        <w:t xml:space="preserve"> real and</w:t>
      </w:r>
      <w:r w:rsidR="008A6C82">
        <w:rPr>
          <w:rFonts w:ascii="Cambria" w:hAnsi="Cambria"/>
        </w:rPr>
        <w:t xml:space="preserve"> perceived stumbles, offers the first real opportunity to establish the infrastructure for a health based drug policy and the inclusion of drug users’ need</w:t>
      </w:r>
      <w:r w:rsidR="00FE71FA">
        <w:rPr>
          <w:rFonts w:ascii="Cambria" w:hAnsi="Cambria"/>
        </w:rPr>
        <w:t>s</w:t>
      </w:r>
      <w:r w:rsidR="008A6C82">
        <w:rPr>
          <w:rFonts w:ascii="Cambria" w:hAnsi="Cambria"/>
        </w:rPr>
        <w:t xml:space="preserve"> in mainstream medicine. Arguably, fundamental shifts in attitudes toward drug users are evident in the </w:t>
      </w:r>
      <w:r w:rsidR="00A94F1C">
        <w:rPr>
          <w:rFonts w:ascii="Cambria" w:hAnsi="Cambria"/>
        </w:rPr>
        <w:t xml:space="preserve">increased </w:t>
      </w:r>
      <w:r w:rsidR="005452ED">
        <w:rPr>
          <w:rFonts w:ascii="Cambria" w:hAnsi="Cambria"/>
        </w:rPr>
        <w:t>acceptance of</w:t>
      </w:r>
      <w:r w:rsidR="008A6C82">
        <w:rPr>
          <w:rFonts w:ascii="Cambria" w:hAnsi="Cambria"/>
        </w:rPr>
        <w:t xml:space="preserve"> sterile syringe programs at the state and local levels</w:t>
      </w:r>
      <w:r w:rsidR="00A94F1C">
        <w:rPr>
          <w:rFonts w:ascii="Cambria" w:hAnsi="Cambria"/>
        </w:rPr>
        <w:t xml:space="preserve"> (although continued resistance in some regions and at the federal level)</w:t>
      </w:r>
      <w:r w:rsidR="008A6C82">
        <w:rPr>
          <w:rFonts w:ascii="Cambria" w:hAnsi="Cambria"/>
        </w:rPr>
        <w:t xml:space="preserve">, proliferation of Good Samaritan/911 overdose death prevention laws, and increasing availability of naloxone to address opiate overdose emergencies.  </w:t>
      </w:r>
    </w:p>
    <w:p w14:paraId="3806A7F0" w14:textId="77777777" w:rsidR="00D1411B" w:rsidRDefault="00D1411B" w:rsidP="00125AE7">
      <w:pPr>
        <w:rPr>
          <w:rFonts w:ascii="Cambria" w:hAnsi="Cambria"/>
        </w:rPr>
      </w:pPr>
    </w:p>
    <w:p w14:paraId="72656E89" w14:textId="266A041A" w:rsidR="00926CFD" w:rsidRPr="00125AE7" w:rsidRDefault="00240D67" w:rsidP="00125AE7">
      <w:pPr>
        <w:rPr>
          <w:rFonts w:ascii="Cambria" w:hAnsi="Cambria"/>
        </w:rPr>
      </w:pPr>
      <w:r>
        <w:rPr>
          <w:rFonts w:ascii="Cambria" w:hAnsi="Cambria"/>
        </w:rPr>
        <w:t xml:space="preserve">As shown graphically on the </w:t>
      </w:r>
      <w:r w:rsidR="007D6ABC">
        <w:rPr>
          <w:rFonts w:ascii="Cambria" w:hAnsi="Cambria"/>
        </w:rPr>
        <w:t xml:space="preserve">attached </w:t>
      </w:r>
      <w:r>
        <w:rPr>
          <w:rFonts w:ascii="Cambria" w:hAnsi="Cambria"/>
        </w:rPr>
        <w:t xml:space="preserve">timeline, </w:t>
      </w:r>
      <w:r w:rsidR="00EF63DF">
        <w:rPr>
          <w:rFonts w:ascii="Cambria" w:hAnsi="Cambria"/>
        </w:rPr>
        <w:t xml:space="preserve">developments in drug policy reform have been largely positive, </w:t>
      </w:r>
      <w:r w:rsidR="00D1411B">
        <w:rPr>
          <w:rFonts w:ascii="Cambria" w:hAnsi="Cambria"/>
        </w:rPr>
        <w:t>but not uniformly so</w:t>
      </w:r>
      <w:r w:rsidR="00EF63DF">
        <w:rPr>
          <w:rFonts w:ascii="Cambria" w:hAnsi="Cambria"/>
        </w:rPr>
        <w:t xml:space="preserve">.  </w:t>
      </w:r>
      <w:r w:rsidR="00D1411B">
        <w:rPr>
          <w:rFonts w:ascii="Cambria" w:hAnsi="Cambria"/>
        </w:rPr>
        <w:t>There remain decided challenges</w:t>
      </w:r>
      <w:r w:rsidR="007D6ABC">
        <w:rPr>
          <w:rFonts w:ascii="Cambria" w:hAnsi="Cambria"/>
        </w:rPr>
        <w:t>, and all</w:t>
      </w:r>
      <w:r w:rsidR="00D1411B">
        <w:rPr>
          <w:rFonts w:ascii="Cambria" w:hAnsi="Cambria"/>
        </w:rPr>
        <w:t xml:space="preserve"> controversial change remains fragile until normalized.  </w:t>
      </w:r>
      <w:r w:rsidR="00F951E2">
        <w:rPr>
          <w:rFonts w:ascii="Cambria" w:hAnsi="Cambria"/>
        </w:rPr>
        <w:t>Continue</w:t>
      </w:r>
      <w:r w:rsidR="007D6ABC">
        <w:rPr>
          <w:rFonts w:ascii="Cambria" w:hAnsi="Cambria"/>
        </w:rPr>
        <w:t>d</w:t>
      </w:r>
      <w:r w:rsidR="00F951E2">
        <w:rPr>
          <w:rFonts w:ascii="Cambria" w:hAnsi="Cambria"/>
        </w:rPr>
        <w:t xml:space="preserve"> fear and stigmatization of drug users, habitual recourse to punitive drug laws to address health and social problems, and entrenched economic and political interest</w:t>
      </w:r>
      <w:r w:rsidR="00356C4A">
        <w:rPr>
          <w:rFonts w:ascii="Cambria" w:hAnsi="Cambria"/>
        </w:rPr>
        <w:t>s</w:t>
      </w:r>
      <w:r w:rsidR="00F951E2">
        <w:rPr>
          <w:rFonts w:ascii="Cambria" w:hAnsi="Cambria"/>
        </w:rPr>
        <w:t xml:space="preserve"> that rely on the criminalization of drug users are a constant threat to the work of the campaign, </w:t>
      </w:r>
      <w:r w:rsidR="00356C4A">
        <w:rPr>
          <w:rFonts w:ascii="Cambria" w:hAnsi="Cambria"/>
        </w:rPr>
        <w:t xml:space="preserve">OSF </w:t>
      </w:r>
      <w:r w:rsidR="00F951E2">
        <w:rPr>
          <w:rFonts w:ascii="Cambria" w:hAnsi="Cambria"/>
        </w:rPr>
        <w:t xml:space="preserve">grantees and non-grantee partners. </w:t>
      </w:r>
      <w:r w:rsidR="001424BD">
        <w:rPr>
          <w:rFonts w:ascii="Cambria" w:hAnsi="Cambria"/>
        </w:rPr>
        <w:t>An</w:t>
      </w:r>
      <w:r w:rsidR="005C699D">
        <w:rPr>
          <w:rFonts w:ascii="Cambria" w:hAnsi="Cambria"/>
        </w:rPr>
        <w:t xml:space="preserve"> ever-present concern is whether</w:t>
      </w:r>
      <w:r w:rsidR="00356C4A">
        <w:rPr>
          <w:rFonts w:ascii="Cambria" w:hAnsi="Cambria"/>
        </w:rPr>
        <w:t xml:space="preserve"> the field </w:t>
      </w:r>
      <w:r w:rsidR="005C699D">
        <w:rPr>
          <w:rFonts w:ascii="Cambria" w:hAnsi="Cambria"/>
        </w:rPr>
        <w:t xml:space="preserve">will have sufficient resources </w:t>
      </w:r>
      <w:r w:rsidR="00F951E2">
        <w:rPr>
          <w:rFonts w:ascii="Cambria" w:hAnsi="Cambria"/>
        </w:rPr>
        <w:t xml:space="preserve">to capitalize on </w:t>
      </w:r>
      <w:r w:rsidR="00096AD7">
        <w:rPr>
          <w:rFonts w:ascii="Cambria" w:hAnsi="Cambria"/>
        </w:rPr>
        <w:t xml:space="preserve">what appears to be </w:t>
      </w:r>
      <w:r w:rsidR="00B45290">
        <w:rPr>
          <w:rFonts w:ascii="Cambria" w:hAnsi="Cambria"/>
        </w:rPr>
        <w:t>a widening</w:t>
      </w:r>
      <w:r w:rsidR="00F951E2">
        <w:rPr>
          <w:rFonts w:ascii="Cambria" w:hAnsi="Cambria"/>
        </w:rPr>
        <w:t xml:space="preserve"> </w:t>
      </w:r>
      <w:r w:rsidR="00C15BCA">
        <w:rPr>
          <w:rFonts w:ascii="Cambria" w:hAnsi="Cambria"/>
        </w:rPr>
        <w:t xml:space="preserve">range of </w:t>
      </w:r>
      <w:r w:rsidR="00096AD7">
        <w:rPr>
          <w:rFonts w:ascii="Cambria" w:hAnsi="Cambria"/>
        </w:rPr>
        <w:t xml:space="preserve">significant </w:t>
      </w:r>
      <w:r w:rsidR="00C15BCA">
        <w:rPr>
          <w:rFonts w:ascii="Cambria" w:hAnsi="Cambria"/>
        </w:rPr>
        <w:t>opportunities</w:t>
      </w:r>
      <w:r w:rsidR="00B45290">
        <w:rPr>
          <w:rFonts w:ascii="Cambria" w:hAnsi="Cambria"/>
        </w:rPr>
        <w:t xml:space="preserve">.  </w:t>
      </w:r>
    </w:p>
    <w:p w14:paraId="384E817F" w14:textId="77777777" w:rsidR="00584674" w:rsidRPr="00125AE7" w:rsidRDefault="00584674" w:rsidP="00125AE7">
      <w:pPr>
        <w:rPr>
          <w:rFonts w:ascii="Cambria" w:hAnsi="Cambria"/>
        </w:rPr>
      </w:pPr>
    </w:p>
    <w:p w14:paraId="36CAA534" w14:textId="77777777" w:rsidR="00A8058C" w:rsidRPr="00125AE7" w:rsidRDefault="00A8058C" w:rsidP="00125AE7">
      <w:pPr>
        <w:rPr>
          <w:rFonts w:ascii="Cambria" w:hAnsi="Cambria"/>
          <w:b/>
        </w:rPr>
      </w:pPr>
      <w:r w:rsidRPr="00125AE7">
        <w:rPr>
          <w:rFonts w:ascii="Cambria" w:hAnsi="Cambria"/>
          <w:b/>
        </w:rPr>
        <w:t xml:space="preserve">PARTNERS </w:t>
      </w:r>
      <w:r w:rsidR="00AC4F86" w:rsidRPr="00125AE7">
        <w:rPr>
          <w:rFonts w:ascii="Cambria" w:hAnsi="Cambria"/>
          <w:b/>
        </w:rPr>
        <w:t xml:space="preserve">AND </w:t>
      </w:r>
      <w:r w:rsidRPr="00125AE7">
        <w:rPr>
          <w:rFonts w:ascii="Cambria" w:hAnsi="Cambria"/>
          <w:b/>
        </w:rPr>
        <w:t>PHILANTHROPIC ENVIRONMENT</w:t>
      </w:r>
    </w:p>
    <w:p w14:paraId="17307AFC" w14:textId="77777777" w:rsidR="00A8058C" w:rsidRPr="00125AE7" w:rsidRDefault="00A8058C" w:rsidP="00125AE7">
      <w:pPr>
        <w:rPr>
          <w:rFonts w:ascii="Cambria" w:hAnsi="Cambria"/>
        </w:rPr>
      </w:pPr>
    </w:p>
    <w:p w14:paraId="39EAC6C7" w14:textId="77777777" w:rsidR="006B5C33" w:rsidRDefault="00A9653D" w:rsidP="00125AE7">
      <w:pPr>
        <w:rPr>
          <w:rFonts w:ascii="Cambria" w:hAnsi="Cambria"/>
        </w:rPr>
      </w:pPr>
      <w:r w:rsidRPr="00125AE7">
        <w:rPr>
          <w:rFonts w:ascii="Cambria" w:hAnsi="Cambria"/>
        </w:rPr>
        <w:t xml:space="preserve">The field’s capacity to transform these opportunities from innovation, to sustained programming and, ultimately, to mainstream drug policy is severely limited by the funding environment. There </w:t>
      </w:r>
      <w:r w:rsidR="00C15BCA">
        <w:rPr>
          <w:rFonts w:ascii="Cambria" w:hAnsi="Cambria"/>
        </w:rPr>
        <w:t>are still very few</w:t>
      </w:r>
      <w:r w:rsidRPr="00125AE7">
        <w:rPr>
          <w:rFonts w:ascii="Cambria" w:hAnsi="Cambria"/>
        </w:rPr>
        <w:t xml:space="preserve"> foundations and individual donors providing support for drug policy reform efforts</w:t>
      </w:r>
      <w:r w:rsidR="00C15BCA">
        <w:rPr>
          <w:rFonts w:ascii="Cambria" w:hAnsi="Cambria"/>
        </w:rPr>
        <w:t xml:space="preserve">.  </w:t>
      </w:r>
      <w:r w:rsidRPr="00125AE7">
        <w:rPr>
          <w:rFonts w:ascii="Cambria" w:hAnsi="Cambria"/>
        </w:rPr>
        <w:t>OSF remains the only major grantmaking institution that prioritizes drug policy reform</w:t>
      </w:r>
      <w:r w:rsidR="006B5C33">
        <w:rPr>
          <w:rFonts w:ascii="Cambria" w:hAnsi="Cambria"/>
        </w:rPr>
        <w:t>, and CNDP</w:t>
      </w:r>
      <w:r w:rsidR="006B5C33" w:rsidRPr="00595E7F">
        <w:rPr>
          <w:rFonts w:ascii="Cambria" w:hAnsi="Cambria"/>
        </w:rPr>
        <w:t xml:space="preserve"> work since its inception has had to focus, in part, on bringing new funders to the field and aligning </w:t>
      </w:r>
      <w:r w:rsidR="006B5C33">
        <w:rPr>
          <w:rFonts w:ascii="Cambria" w:hAnsi="Cambria"/>
        </w:rPr>
        <w:t xml:space="preserve">with </w:t>
      </w:r>
      <w:r w:rsidR="006B5C33" w:rsidRPr="00595E7F">
        <w:rPr>
          <w:rFonts w:ascii="Cambria" w:hAnsi="Cambria"/>
        </w:rPr>
        <w:t xml:space="preserve">the efforts of others already </w:t>
      </w:r>
      <w:r w:rsidR="006B5C33">
        <w:rPr>
          <w:rFonts w:ascii="Cambria" w:hAnsi="Cambria"/>
        </w:rPr>
        <w:t>active in supporting d</w:t>
      </w:r>
      <w:r w:rsidR="006B5C33" w:rsidRPr="00595E7F">
        <w:rPr>
          <w:rFonts w:ascii="Cambria" w:hAnsi="Cambria"/>
        </w:rPr>
        <w:t>rug policy reform</w:t>
      </w:r>
      <w:r w:rsidR="006B5C33">
        <w:rPr>
          <w:rFonts w:ascii="Cambria" w:hAnsi="Cambria"/>
        </w:rPr>
        <w:t xml:space="preserve"> or a component field</w:t>
      </w:r>
      <w:r w:rsidR="006B5C33" w:rsidRPr="00595E7F">
        <w:rPr>
          <w:rFonts w:ascii="Cambria" w:hAnsi="Cambria"/>
        </w:rPr>
        <w:t>.</w:t>
      </w:r>
    </w:p>
    <w:p w14:paraId="7ED880BA" w14:textId="77777777" w:rsidR="006B5C33" w:rsidRDefault="006B5C33" w:rsidP="00125AE7">
      <w:pPr>
        <w:rPr>
          <w:rFonts w:ascii="Cambria" w:hAnsi="Cambria"/>
        </w:rPr>
      </w:pPr>
    </w:p>
    <w:p w14:paraId="52CF67DD" w14:textId="60099063" w:rsidR="00C15BCA" w:rsidRDefault="00C15BCA" w:rsidP="00125AE7">
      <w:pPr>
        <w:rPr>
          <w:rFonts w:ascii="Cambria" w:hAnsi="Cambria"/>
        </w:rPr>
      </w:pPr>
      <w:r>
        <w:rPr>
          <w:rFonts w:ascii="Cambria" w:hAnsi="Cambria"/>
        </w:rPr>
        <w:t>CNDP has partnered with a number of foundations</w:t>
      </w:r>
      <w:r w:rsidR="00356C4A">
        <w:rPr>
          <w:rFonts w:ascii="Cambria" w:hAnsi="Cambria"/>
        </w:rPr>
        <w:t xml:space="preserve">, </w:t>
      </w:r>
      <w:r>
        <w:rPr>
          <w:rFonts w:ascii="Cambria" w:hAnsi="Cambria"/>
        </w:rPr>
        <w:t>such as Riverstyx, Libra</w:t>
      </w:r>
      <w:r w:rsidR="00D95FDE">
        <w:rPr>
          <w:rFonts w:ascii="Cambria" w:hAnsi="Cambria"/>
        </w:rPr>
        <w:t>,</w:t>
      </w:r>
      <w:r>
        <w:rPr>
          <w:rFonts w:ascii="Cambria" w:hAnsi="Cambria"/>
        </w:rPr>
        <w:t xml:space="preserve"> Vital Projects</w:t>
      </w:r>
      <w:r w:rsidR="00356C4A">
        <w:rPr>
          <w:rFonts w:ascii="Cambria" w:hAnsi="Cambria"/>
        </w:rPr>
        <w:t xml:space="preserve"> and </w:t>
      </w:r>
      <w:r>
        <w:rPr>
          <w:rFonts w:ascii="Cambria" w:hAnsi="Cambria"/>
        </w:rPr>
        <w:t>Ford to support the development of community level alternatives, such as Law Enforcement Assisted Diversion (LEAD)</w:t>
      </w:r>
      <w:r w:rsidR="00D95FDE">
        <w:rPr>
          <w:rFonts w:ascii="Cambria" w:hAnsi="Cambria"/>
        </w:rPr>
        <w:t>,</w:t>
      </w:r>
      <w:r>
        <w:rPr>
          <w:rFonts w:ascii="Cambria" w:hAnsi="Cambria"/>
        </w:rPr>
        <w:t xml:space="preserve"> and </w:t>
      </w:r>
      <w:r w:rsidR="00356C4A">
        <w:rPr>
          <w:rFonts w:ascii="Cambria" w:hAnsi="Cambria"/>
        </w:rPr>
        <w:t xml:space="preserve">to arrange </w:t>
      </w:r>
      <w:r>
        <w:rPr>
          <w:rFonts w:ascii="Cambria" w:hAnsi="Cambria"/>
        </w:rPr>
        <w:t>complimentary funding, such as strategic planning support to organizations like Law Enforcement Against Prohibition, which CNDP sustains with general support funding.</w:t>
      </w:r>
      <w:r w:rsidR="006B5C33">
        <w:rPr>
          <w:rFonts w:ascii="Cambria" w:hAnsi="Cambria"/>
        </w:rPr>
        <w:t xml:space="preserve"> </w:t>
      </w:r>
      <w:r>
        <w:rPr>
          <w:rFonts w:ascii="Cambria" w:hAnsi="Cambria"/>
        </w:rPr>
        <w:t xml:space="preserve">On the health </w:t>
      </w:r>
      <w:r w:rsidR="00527643">
        <w:rPr>
          <w:rFonts w:ascii="Cambria" w:hAnsi="Cambria"/>
        </w:rPr>
        <w:t xml:space="preserve">and harm reduction </w:t>
      </w:r>
      <w:r>
        <w:rPr>
          <w:rFonts w:ascii="Cambria" w:hAnsi="Cambria"/>
        </w:rPr>
        <w:t>side</w:t>
      </w:r>
      <w:r w:rsidR="00527643">
        <w:rPr>
          <w:rFonts w:ascii="Cambria" w:hAnsi="Cambria"/>
        </w:rPr>
        <w:t xml:space="preserve"> of CNDP’s portfolio</w:t>
      </w:r>
      <w:r>
        <w:rPr>
          <w:rFonts w:ascii="Cambria" w:hAnsi="Cambria"/>
        </w:rPr>
        <w:t xml:space="preserve">, </w:t>
      </w:r>
      <w:r w:rsidR="00826DAC">
        <w:rPr>
          <w:rFonts w:ascii="Cambria" w:hAnsi="Cambria"/>
        </w:rPr>
        <w:t xml:space="preserve">CNDP has collaborated closely with local funders in </w:t>
      </w:r>
      <w:r w:rsidR="00A94F1C">
        <w:rPr>
          <w:rFonts w:ascii="Cambria" w:hAnsi="Cambria"/>
        </w:rPr>
        <w:t>O</w:t>
      </w:r>
      <w:r w:rsidR="00826DAC">
        <w:rPr>
          <w:rFonts w:ascii="Cambria" w:hAnsi="Cambria"/>
        </w:rPr>
        <w:t>hio and national funders such as the Hilton Foundation to increase access to high quality addiction treatment services.</w:t>
      </w:r>
    </w:p>
    <w:p w14:paraId="79D072B5" w14:textId="77777777" w:rsidR="00C15BCA" w:rsidRDefault="00C15BCA" w:rsidP="00125AE7">
      <w:pPr>
        <w:rPr>
          <w:rFonts w:ascii="Cambria" w:hAnsi="Cambria"/>
        </w:rPr>
      </w:pPr>
    </w:p>
    <w:p w14:paraId="4CCD7966" w14:textId="437B5E2D" w:rsidR="007F4DE2" w:rsidRPr="00125AE7" w:rsidRDefault="00527643" w:rsidP="00125AE7">
      <w:pPr>
        <w:rPr>
          <w:rFonts w:ascii="Cambria" w:hAnsi="Cambria"/>
        </w:rPr>
      </w:pPr>
      <w:r>
        <w:rPr>
          <w:rFonts w:ascii="Cambria" w:hAnsi="Cambria"/>
        </w:rPr>
        <w:t xml:space="preserve">The still perceived controversial nature of drug policy reform work has created both challenges and opportunities in CNDP’s effort to bring new </w:t>
      </w:r>
      <w:r w:rsidR="000634B0">
        <w:rPr>
          <w:rFonts w:ascii="Cambria" w:hAnsi="Cambria"/>
        </w:rPr>
        <w:t>resources</w:t>
      </w:r>
      <w:r>
        <w:rPr>
          <w:rFonts w:ascii="Cambria" w:hAnsi="Cambria"/>
        </w:rPr>
        <w:t xml:space="preserve"> to the field and to expand the investment by funders who already have their toe in the water. Particularly in relation </w:t>
      </w:r>
      <w:r w:rsidR="00B57F9D">
        <w:rPr>
          <w:rFonts w:ascii="Cambria" w:hAnsi="Cambria"/>
        </w:rPr>
        <w:t xml:space="preserve">to </w:t>
      </w:r>
      <w:r>
        <w:rPr>
          <w:rFonts w:ascii="Cambria" w:hAnsi="Cambria"/>
        </w:rPr>
        <w:t>funders with long track records of support</w:t>
      </w:r>
      <w:r w:rsidR="006C205E">
        <w:rPr>
          <w:rFonts w:ascii="Cambria" w:hAnsi="Cambria"/>
        </w:rPr>
        <w:t>ing</w:t>
      </w:r>
      <w:r>
        <w:rPr>
          <w:rFonts w:ascii="Cambria" w:hAnsi="Cambria"/>
        </w:rPr>
        <w:t xml:space="preserve"> criminal justice reform, racial justice advocacy and the prevention of poverty, there is at least a baseline understanding of </w:t>
      </w:r>
      <w:r w:rsidR="00947F41">
        <w:rPr>
          <w:rFonts w:ascii="Cambria" w:hAnsi="Cambria"/>
        </w:rPr>
        <w:t xml:space="preserve">the </w:t>
      </w:r>
      <w:r>
        <w:rPr>
          <w:rFonts w:ascii="Cambria" w:hAnsi="Cambria"/>
        </w:rPr>
        <w:t xml:space="preserve">importance of eliminating </w:t>
      </w:r>
      <w:r w:rsidR="000634B0">
        <w:rPr>
          <w:rFonts w:ascii="Cambria" w:hAnsi="Cambria"/>
        </w:rPr>
        <w:t xml:space="preserve">the criminalization of </w:t>
      </w:r>
      <w:r>
        <w:rPr>
          <w:rFonts w:ascii="Cambria" w:hAnsi="Cambria"/>
        </w:rPr>
        <w:t>drug use and subsistence drug selling</w:t>
      </w:r>
      <w:r w:rsidR="000634B0">
        <w:rPr>
          <w:rFonts w:ascii="Cambria" w:hAnsi="Cambria"/>
        </w:rPr>
        <w:t xml:space="preserve"> and the potential for collaboration. </w:t>
      </w:r>
      <w:r w:rsidR="004E4976">
        <w:rPr>
          <w:rFonts w:ascii="Cambria" w:hAnsi="Cambria"/>
        </w:rPr>
        <w:t xml:space="preserve">In relation to </w:t>
      </w:r>
      <w:r w:rsidR="000634B0">
        <w:rPr>
          <w:rFonts w:ascii="Cambria" w:hAnsi="Cambria"/>
        </w:rPr>
        <w:t xml:space="preserve">funders </w:t>
      </w:r>
      <w:r w:rsidR="004E4976">
        <w:rPr>
          <w:rFonts w:ascii="Cambria" w:hAnsi="Cambria"/>
        </w:rPr>
        <w:t>new to the field, such as Good Ventures</w:t>
      </w:r>
      <w:r w:rsidR="005452ED">
        <w:rPr>
          <w:rFonts w:ascii="Cambria" w:hAnsi="Cambria"/>
        </w:rPr>
        <w:t>,</w:t>
      </w:r>
      <w:r w:rsidR="004E4976">
        <w:rPr>
          <w:rFonts w:ascii="Cambria" w:hAnsi="Cambria"/>
        </w:rPr>
        <w:t xml:space="preserve"> CNDP staff </w:t>
      </w:r>
      <w:r w:rsidR="006C205E">
        <w:rPr>
          <w:rFonts w:ascii="Cambria" w:hAnsi="Cambria"/>
        </w:rPr>
        <w:t xml:space="preserve">has </w:t>
      </w:r>
      <w:r w:rsidR="00F03F91">
        <w:rPr>
          <w:rFonts w:ascii="Cambria" w:hAnsi="Cambria"/>
        </w:rPr>
        <w:t>provided</w:t>
      </w:r>
      <w:r w:rsidR="004E4976">
        <w:rPr>
          <w:rFonts w:ascii="Cambria" w:hAnsi="Cambria"/>
        </w:rPr>
        <w:t xml:space="preserve"> advice on drug policy </w:t>
      </w:r>
      <w:r w:rsidR="005452ED">
        <w:rPr>
          <w:rFonts w:ascii="Cambria" w:hAnsi="Cambria"/>
        </w:rPr>
        <w:t xml:space="preserve">reform grantmaking and </w:t>
      </w:r>
      <w:r w:rsidR="004E4976">
        <w:rPr>
          <w:rFonts w:ascii="Cambria" w:hAnsi="Cambria"/>
        </w:rPr>
        <w:t>strategy.</w:t>
      </w:r>
    </w:p>
    <w:p w14:paraId="01B70A69" w14:textId="77777777" w:rsidR="006E108A" w:rsidRPr="00125AE7" w:rsidRDefault="006E108A" w:rsidP="00125AE7">
      <w:pPr>
        <w:rPr>
          <w:rFonts w:ascii="Cambria" w:hAnsi="Cambria"/>
        </w:rPr>
      </w:pPr>
    </w:p>
    <w:p w14:paraId="66171524" w14:textId="3E38B754" w:rsidR="00892132" w:rsidRPr="00125AE7" w:rsidRDefault="00341486" w:rsidP="00125AE7">
      <w:pPr>
        <w:rPr>
          <w:rFonts w:ascii="Cambria" w:hAnsi="Cambria"/>
          <w:b/>
        </w:rPr>
      </w:pPr>
      <w:r w:rsidRPr="00125AE7">
        <w:rPr>
          <w:rFonts w:ascii="Cambria" w:hAnsi="Cambria"/>
          <w:b/>
        </w:rPr>
        <w:t>STRATE</w:t>
      </w:r>
      <w:r w:rsidR="00413171" w:rsidRPr="00125AE7">
        <w:rPr>
          <w:rFonts w:ascii="Cambria" w:hAnsi="Cambria"/>
          <w:b/>
        </w:rPr>
        <w:t>G</w:t>
      </w:r>
      <w:r w:rsidR="00D1306E" w:rsidRPr="00125AE7">
        <w:rPr>
          <w:rFonts w:ascii="Cambria" w:hAnsi="Cambria"/>
          <w:b/>
        </w:rPr>
        <w:t xml:space="preserve">IC </w:t>
      </w:r>
      <w:r w:rsidR="00413171" w:rsidRPr="00125AE7">
        <w:rPr>
          <w:rFonts w:ascii="Cambria" w:hAnsi="Cambria"/>
          <w:b/>
        </w:rPr>
        <w:t>APPROACH</w:t>
      </w:r>
      <w:r w:rsidR="00D1306E" w:rsidRPr="00125AE7">
        <w:rPr>
          <w:rFonts w:ascii="Cambria" w:hAnsi="Cambria"/>
          <w:b/>
        </w:rPr>
        <w:t xml:space="preserve"> AND PROGRAM CAPACITY</w:t>
      </w:r>
      <w:r w:rsidR="00F92815" w:rsidRPr="00125AE7">
        <w:rPr>
          <w:rFonts w:ascii="Cambria" w:hAnsi="Cambria"/>
          <w:b/>
        </w:rPr>
        <w:t xml:space="preserve">: </w:t>
      </w:r>
      <w:r w:rsidR="00413171" w:rsidRPr="00125AE7">
        <w:rPr>
          <w:rFonts w:ascii="Cambria" w:hAnsi="Cambria"/>
          <w:b/>
        </w:rPr>
        <w:t>201</w:t>
      </w:r>
      <w:r w:rsidR="004C2516" w:rsidRPr="00125AE7">
        <w:rPr>
          <w:rFonts w:ascii="Cambria" w:hAnsi="Cambria"/>
          <w:b/>
        </w:rPr>
        <w:t>1</w:t>
      </w:r>
      <w:r w:rsidR="00413171" w:rsidRPr="00125AE7">
        <w:rPr>
          <w:rFonts w:ascii="Cambria" w:hAnsi="Cambria"/>
          <w:b/>
        </w:rPr>
        <w:t xml:space="preserve"> </w:t>
      </w:r>
      <w:r w:rsidR="00D1306E" w:rsidRPr="00125AE7">
        <w:rPr>
          <w:rFonts w:ascii="Cambria" w:hAnsi="Cambria"/>
          <w:b/>
        </w:rPr>
        <w:t>-</w:t>
      </w:r>
      <w:r w:rsidR="00F92815" w:rsidRPr="00125AE7">
        <w:rPr>
          <w:rFonts w:ascii="Cambria" w:hAnsi="Cambria"/>
          <w:b/>
        </w:rPr>
        <w:t>201</w:t>
      </w:r>
      <w:r w:rsidR="004F5D46" w:rsidRPr="00125AE7">
        <w:rPr>
          <w:rFonts w:ascii="Cambria" w:hAnsi="Cambria"/>
          <w:b/>
        </w:rPr>
        <w:t>4</w:t>
      </w:r>
      <w:r w:rsidR="00B461F9">
        <w:rPr>
          <w:rStyle w:val="FootnoteReference"/>
          <w:rFonts w:ascii="Cambria" w:hAnsi="Cambria"/>
          <w:b/>
        </w:rPr>
        <w:footnoteReference w:id="2"/>
      </w:r>
    </w:p>
    <w:p w14:paraId="1E92EC5C" w14:textId="77777777" w:rsidR="005F6802" w:rsidRPr="00125AE7" w:rsidRDefault="005F6802" w:rsidP="00125AE7">
      <w:pPr>
        <w:rPr>
          <w:rFonts w:ascii="Cambria" w:hAnsi="Cambria"/>
          <w:b/>
        </w:rPr>
      </w:pPr>
    </w:p>
    <w:p w14:paraId="05824D95" w14:textId="160F872B" w:rsidR="00F5611B" w:rsidRDefault="00470D5E" w:rsidP="00125AE7">
      <w:pPr>
        <w:rPr>
          <w:rFonts w:ascii="Cambria" w:hAnsi="Cambria"/>
        </w:rPr>
      </w:pPr>
      <w:r w:rsidRPr="00125AE7">
        <w:rPr>
          <w:rFonts w:ascii="Cambria" w:hAnsi="Cambria"/>
        </w:rPr>
        <w:t xml:space="preserve">CNDP </w:t>
      </w:r>
      <w:r w:rsidR="000A13EB">
        <w:rPr>
          <w:rFonts w:ascii="Cambria" w:hAnsi="Cambria"/>
        </w:rPr>
        <w:t>organizes its work in</w:t>
      </w:r>
      <w:r w:rsidR="00B873F4">
        <w:rPr>
          <w:rFonts w:ascii="Cambria" w:hAnsi="Cambria"/>
        </w:rPr>
        <w:t xml:space="preserve"> three </w:t>
      </w:r>
      <w:r w:rsidR="00EA3911">
        <w:rPr>
          <w:rFonts w:ascii="Cambria" w:hAnsi="Cambria"/>
        </w:rPr>
        <w:t>i</w:t>
      </w:r>
      <w:r w:rsidR="009A45EF">
        <w:rPr>
          <w:rFonts w:ascii="Cambria" w:hAnsi="Cambria"/>
        </w:rPr>
        <w:t>nterrelated strategies</w:t>
      </w:r>
      <w:r w:rsidR="00880E70">
        <w:rPr>
          <w:rFonts w:ascii="Cambria" w:hAnsi="Cambria"/>
        </w:rPr>
        <w:t xml:space="preserve">, each </w:t>
      </w:r>
      <w:r w:rsidR="00953AC4">
        <w:rPr>
          <w:rFonts w:ascii="Cambria" w:hAnsi="Cambria"/>
        </w:rPr>
        <w:t>designate</w:t>
      </w:r>
      <w:r w:rsidR="00B873F4">
        <w:rPr>
          <w:rFonts w:ascii="Cambria" w:hAnsi="Cambria"/>
        </w:rPr>
        <w:t>d</w:t>
      </w:r>
      <w:r w:rsidR="00953AC4">
        <w:rPr>
          <w:rFonts w:ascii="Cambria" w:hAnsi="Cambria"/>
        </w:rPr>
        <w:t xml:space="preserve"> </w:t>
      </w:r>
      <w:r w:rsidR="00EA3911">
        <w:rPr>
          <w:rFonts w:ascii="Cambria" w:hAnsi="Cambria"/>
        </w:rPr>
        <w:t xml:space="preserve">by </w:t>
      </w:r>
      <w:r w:rsidR="00880E70">
        <w:rPr>
          <w:rFonts w:ascii="Cambria" w:hAnsi="Cambria"/>
        </w:rPr>
        <w:t xml:space="preserve">its particular </w:t>
      </w:r>
      <w:r w:rsidR="00953AC4">
        <w:rPr>
          <w:rFonts w:ascii="Cambria" w:hAnsi="Cambria"/>
        </w:rPr>
        <w:t xml:space="preserve">objective.  </w:t>
      </w:r>
      <w:r w:rsidR="00B873F4">
        <w:rPr>
          <w:rFonts w:ascii="Cambria" w:hAnsi="Cambria"/>
        </w:rPr>
        <w:t xml:space="preserve">Grantmaking in the first category is intended </w:t>
      </w:r>
      <w:r w:rsidR="004E776A">
        <w:rPr>
          <w:rFonts w:ascii="Cambria" w:hAnsi="Cambria"/>
        </w:rPr>
        <w:t xml:space="preserve">(a) </w:t>
      </w:r>
      <w:r w:rsidR="00B873F4">
        <w:rPr>
          <w:rFonts w:ascii="Cambria" w:hAnsi="Cambria"/>
        </w:rPr>
        <w:t>to ensure that a standing corps of dedicated drug policy reform advocates is available to the field</w:t>
      </w:r>
      <w:r w:rsidR="006C205E">
        <w:rPr>
          <w:rFonts w:ascii="Cambria" w:hAnsi="Cambria"/>
        </w:rPr>
        <w:t xml:space="preserve"> and capable of responding to emergent opportunities</w:t>
      </w:r>
      <w:r w:rsidR="00B873F4">
        <w:rPr>
          <w:rFonts w:ascii="Cambria" w:hAnsi="Cambria"/>
        </w:rPr>
        <w:t xml:space="preserve">. Grantmaking within the second and third </w:t>
      </w:r>
      <w:r w:rsidR="009A45EF">
        <w:rPr>
          <w:rFonts w:ascii="Cambria" w:hAnsi="Cambria"/>
        </w:rPr>
        <w:t xml:space="preserve">areas </w:t>
      </w:r>
      <w:r w:rsidR="006C205E">
        <w:rPr>
          <w:rFonts w:ascii="Cambria" w:hAnsi="Cambria"/>
        </w:rPr>
        <w:t>of CNDP effort</w:t>
      </w:r>
      <w:r w:rsidR="00B873F4">
        <w:rPr>
          <w:rFonts w:ascii="Cambria" w:hAnsi="Cambria"/>
        </w:rPr>
        <w:t xml:space="preserve"> are intended to fill critical gaps in the field: </w:t>
      </w:r>
      <w:r w:rsidR="00880E70">
        <w:rPr>
          <w:rFonts w:ascii="Cambria" w:hAnsi="Cambria"/>
        </w:rPr>
        <w:t>(</w:t>
      </w:r>
      <w:r w:rsidR="009A45EF">
        <w:rPr>
          <w:rFonts w:ascii="Cambria" w:hAnsi="Cambria"/>
        </w:rPr>
        <w:t>b</w:t>
      </w:r>
      <w:r w:rsidR="00880E70">
        <w:rPr>
          <w:rFonts w:ascii="Cambria" w:hAnsi="Cambria"/>
        </w:rPr>
        <w:t xml:space="preserve">) </w:t>
      </w:r>
      <w:r w:rsidR="00EA3911">
        <w:rPr>
          <w:rFonts w:ascii="Cambria" w:hAnsi="Cambria"/>
        </w:rPr>
        <w:t xml:space="preserve">the </w:t>
      </w:r>
      <w:r w:rsidR="00B873F4">
        <w:rPr>
          <w:rFonts w:ascii="Cambria" w:hAnsi="Cambria"/>
        </w:rPr>
        <w:t xml:space="preserve">lack of </w:t>
      </w:r>
      <w:r w:rsidR="00EA3911">
        <w:rPr>
          <w:rFonts w:ascii="Cambria" w:hAnsi="Cambria"/>
        </w:rPr>
        <w:t>an</w:t>
      </w:r>
      <w:r w:rsidR="00B873F4">
        <w:rPr>
          <w:rFonts w:ascii="Cambria" w:hAnsi="Cambria"/>
        </w:rPr>
        <w:t xml:space="preserve"> infrastructure for a health centered drug policy and </w:t>
      </w:r>
      <w:r w:rsidR="009A45EF" w:rsidRPr="009A45EF">
        <w:rPr>
          <w:rFonts w:ascii="Cambria" w:hAnsi="Cambria"/>
        </w:rPr>
        <w:t xml:space="preserve">access to </w:t>
      </w:r>
      <w:r w:rsidR="009A45EF">
        <w:rPr>
          <w:rFonts w:ascii="Cambria" w:hAnsi="Cambria"/>
        </w:rPr>
        <w:t>SUD</w:t>
      </w:r>
      <w:r w:rsidR="009A45EF" w:rsidRPr="009A45EF">
        <w:rPr>
          <w:rFonts w:ascii="Cambria" w:hAnsi="Cambria"/>
        </w:rPr>
        <w:t xml:space="preserve"> services,</w:t>
      </w:r>
      <w:r w:rsidR="009A45EF">
        <w:rPr>
          <w:rFonts w:ascii="Cambria" w:hAnsi="Cambria"/>
        </w:rPr>
        <w:t xml:space="preserve"> </w:t>
      </w:r>
      <w:r w:rsidR="009A45EF" w:rsidRPr="009A45EF">
        <w:rPr>
          <w:rFonts w:ascii="Cambria" w:hAnsi="Cambria"/>
        </w:rPr>
        <w:t xml:space="preserve">including treatment and harm reduction services </w:t>
      </w:r>
      <w:r w:rsidR="009A45EF">
        <w:rPr>
          <w:rFonts w:ascii="Cambria" w:hAnsi="Cambria"/>
        </w:rPr>
        <w:t xml:space="preserve">and </w:t>
      </w:r>
      <w:r w:rsidR="00880E70">
        <w:rPr>
          <w:rFonts w:ascii="Cambria" w:hAnsi="Cambria"/>
        </w:rPr>
        <w:t>(</w:t>
      </w:r>
      <w:r w:rsidR="009A45EF">
        <w:rPr>
          <w:rFonts w:ascii="Cambria" w:hAnsi="Cambria"/>
        </w:rPr>
        <w:t>c</w:t>
      </w:r>
      <w:r w:rsidR="00880E70">
        <w:rPr>
          <w:rFonts w:ascii="Cambria" w:hAnsi="Cambria"/>
        </w:rPr>
        <w:t xml:space="preserve">) </w:t>
      </w:r>
      <w:r w:rsidR="009A45EF">
        <w:rPr>
          <w:rFonts w:ascii="Cambria" w:hAnsi="Cambria"/>
        </w:rPr>
        <w:t xml:space="preserve">a </w:t>
      </w:r>
      <w:r w:rsidR="00B873F4">
        <w:rPr>
          <w:rFonts w:ascii="Cambria" w:hAnsi="Cambria"/>
        </w:rPr>
        <w:t xml:space="preserve">failure </w:t>
      </w:r>
      <w:r w:rsidR="009A45EF">
        <w:rPr>
          <w:rFonts w:ascii="Cambria" w:hAnsi="Cambria"/>
        </w:rPr>
        <w:t xml:space="preserve">by </w:t>
      </w:r>
      <w:r w:rsidR="00B873F4">
        <w:rPr>
          <w:rFonts w:ascii="Cambria" w:hAnsi="Cambria"/>
        </w:rPr>
        <w:t xml:space="preserve">the field as a whole to develop </w:t>
      </w:r>
      <w:r w:rsidR="00880E70">
        <w:rPr>
          <w:rFonts w:ascii="Cambria" w:hAnsi="Cambria"/>
        </w:rPr>
        <w:t xml:space="preserve">realistic and </w:t>
      </w:r>
      <w:r w:rsidR="00B873F4">
        <w:rPr>
          <w:rFonts w:ascii="Cambria" w:hAnsi="Cambria"/>
        </w:rPr>
        <w:t>solution</w:t>
      </w:r>
      <w:r w:rsidR="00880E70">
        <w:rPr>
          <w:rFonts w:ascii="Cambria" w:hAnsi="Cambria"/>
        </w:rPr>
        <w:t xml:space="preserve">-oriented alternatives to punitive drug policy. </w:t>
      </w:r>
    </w:p>
    <w:p w14:paraId="72E6FD88" w14:textId="77777777" w:rsidR="00F5611B" w:rsidRDefault="00F5611B" w:rsidP="00125AE7">
      <w:pPr>
        <w:rPr>
          <w:rFonts w:ascii="Cambria" w:hAnsi="Cambria"/>
        </w:rPr>
      </w:pPr>
    </w:p>
    <w:p w14:paraId="22993149" w14:textId="77777777" w:rsidR="00F5611B" w:rsidRDefault="00880E70" w:rsidP="00125AE7">
      <w:pPr>
        <w:rPr>
          <w:rFonts w:ascii="Cambria" w:hAnsi="Cambria"/>
        </w:rPr>
      </w:pPr>
      <w:r>
        <w:rPr>
          <w:rFonts w:ascii="Cambria" w:hAnsi="Cambria"/>
        </w:rPr>
        <w:t xml:space="preserve">CNDP’s direct engagement with grantee and non-grantee partners is intended to move the field </w:t>
      </w:r>
      <w:r w:rsidR="00F5611B">
        <w:rPr>
          <w:rFonts w:ascii="Cambria" w:hAnsi="Cambria"/>
        </w:rPr>
        <w:t>to address these gaps.  We have used a variety of tools, including CNDP led</w:t>
      </w:r>
      <w:r w:rsidR="002A7E71" w:rsidRPr="00125AE7">
        <w:rPr>
          <w:rFonts w:ascii="Cambria" w:hAnsi="Cambria"/>
        </w:rPr>
        <w:t xml:space="preserve"> working groups, </w:t>
      </w:r>
      <w:r w:rsidR="008D69AF" w:rsidRPr="00125AE7">
        <w:rPr>
          <w:rFonts w:ascii="Cambria" w:hAnsi="Cambria"/>
        </w:rPr>
        <w:t>cross</w:t>
      </w:r>
      <w:r w:rsidR="00F5611B">
        <w:rPr>
          <w:rFonts w:ascii="Cambria" w:hAnsi="Cambria"/>
        </w:rPr>
        <w:noBreakHyphen/>
      </w:r>
      <w:r w:rsidR="008D69AF" w:rsidRPr="00125AE7">
        <w:rPr>
          <w:rFonts w:ascii="Cambria" w:hAnsi="Cambria"/>
        </w:rPr>
        <w:t xml:space="preserve">sector </w:t>
      </w:r>
      <w:r w:rsidR="002A7E71" w:rsidRPr="00125AE7">
        <w:rPr>
          <w:rFonts w:ascii="Cambria" w:hAnsi="Cambria"/>
        </w:rPr>
        <w:t xml:space="preserve">convenings, </w:t>
      </w:r>
      <w:r w:rsidR="008D69AF" w:rsidRPr="00125AE7">
        <w:rPr>
          <w:rFonts w:ascii="Cambria" w:hAnsi="Cambria"/>
        </w:rPr>
        <w:t xml:space="preserve">sustained </w:t>
      </w:r>
      <w:r w:rsidR="00F5611B">
        <w:rPr>
          <w:rFonts w:ascii="Cambria" w:hAnsi="Cambria"/>
        </w:rPr>
        <w:t xml:space="preserve">facilitation of information sharing and </w:t>
      </w:r>
      <w:r w:rsidR="008D69AF" w:rsidRPr="00125AE7">
        <w:rPr>
          <w:rFonts w:ascii="Cambria" w:hAnsi="Cambria"/>
        </w:rPr>
        <w:t>relationship building</w:t>
      </w:r>
      <w:r w:rsidR="00F5611B">
        <w:rPr>
          <w:rFonts w:ascii="Cambria" w:hAnsi="Cambria"/>
        </w:rPr>
        <w:t xml:space="preserve">, </w:t>
      </w:r>
      <w:r w:rsidR="00EA3911">
        <w:rPr>
          <w:rFonts w:ascii="Cambria" w:hAnsi="Cambria"/>
        </w:rPr>
        <w:t xml:space="preserve">and </w:t>
      </w:r>
      <w:r w:rsidR="00F5611B">
        <w:rPr>
          <w:rFonts w:ascii="Cambria" w:hAnsi="Cambria"/>
        </w:rPr>
        <w:t>the funding of targeted research.</w:t>
      </w:r>
      <w:r w:rsidR="008D69AF" w:rsidRPr="00125AE7">
        <w:rPr>
          <w:rFonts w:ascii="Cambria" w:hAnsi="Cambria"/>
        </w:rPr>
        <w:t xml:space="preserve">  </w:t>
      </w:r>
    </w:p>
    <w:p w14:paraId="6A048021" w14:textId="77777777" w:rsidR="00F5611B" w:rsidRDefault="00F5611B" w:rsidP="00125AE7">
      <w:pPr>
        <w:rPr>
          <w:rFonts w:ascii="Cambria" w:hAnsi="Cambria"/>
        </w:rPr>
      </w:pPr>
    </w:p>
    <w:p w14:paraId="49B45E2F" w14:textId="77777777" w:rsidR="00413171" w:rsidRPr="00125AE7" w:rsidRDefault="00033BB7" w:rsidP="00125AE7">
      <w:pPr>
        <w:rPr>
          <w:rFonts w:ascii="Cambria" w:hAnsi="Cambria"/>
        </w:rPr>
      </w:pPr>
      <w:r>
        <w:rPr>
          <w:rFonts w:ascii="Cambria" w:hAnsi="Cambria"/>
        </w:rPr>
        <w:t xml:space="preserve">As described below, </w:t>
      </w:r>
      <w:r w:rsidR="002F3A5C">
        <w:rPr>
          <w:rFonts w:ascii="Cambria" w:hAnsi="Cambria"/>
        </w:rPr>
        <w:t xml:space="preserve">reduction of the CNDP’s non-DPA grantmaking budget </w:t>
      </w:r>
      <w:r w:rsidR="00EA3911">
        <w:rPr>
          <w:rFonts w:ascii="Cambria" w:hAnsi="Cambria"/>
        </w:rPr>
        <w:t xml:space="preserve">from </w:t>
      </w:r>
      <w:r w:rsidR="002F3A5C" w:rsidRPr="00DA23A7">
        <w:rPr>
          <w:rFonts w:ascii="Cambria" w:hAnsi="Cambria"/>
        </w:rPr>
        <w:t>$4 million in 2011 to $2.7 million in 2014</w:t>
      </w:r>
      <w:r w:rsidR="002F3A5C">
        <w:rPr>
          <w:rFonts w:ascii="Cambria" w:hAnsi="Cambria"/>
        </w:rPr>
        <w:t xml:space="preserve"> has impacted our ability to respond to emerging opportunities</w:t>
      </w:r>
      <w:r w:rsidR="00EA3911">
        <w:rPr>
          <w:rFonts w:ascii="Cambria" w:hAnsi="Cambria"/>
        </w:rPr>
        <w:t xml:space="preserve"> </w:t>
      </w:r>
      <w:r w:rsidR="002F3A5C">
        <w:rPr>
          <w:rFonts w:ascii="Cambria" w:hAnsi="Cambria"/>
        </w:rPr>
        <w:t>w</w:t>
      </w:r>
      <w:r w:rsidR="002A7E71" w:rsidRPr="00125AE7">
        <w:rPr>
          <w:rFonts w:ascii="Cambria" w:hAnsi="Cambria"/>
        </w:rPr>
        <w:t xml:space="preserve">hile </w:t>
      </w:r>
      <w:r w:rsidR="00EA3911">
        <w:rPr>
          <w:rFonts w:ascii="Cambria" w:hAnsi="Cambria"/>
        </w:rPr>
        <w:t xml:space="preserve">also </w:t>
      </w:r>
      <w:r w:rsidR="006C205E">
        <w:rPr>
          <w:rFonts w:ascii="Cambria" w:hAnsi="Cambria"/>
        </w:rPr>
        <w:t xml:space="preserve">attempting to </w:t>
      </w:r>
      <w:r w:rsidR="002A7E71" w:rsidRPr="00125AE7">
        <w:rPr>
          <w:rFonts w:ascii="Cambria" w:hAnsi="Cambria"/>
        </w:rPr>
        <w:t>sustain</w:t>
      </w:r>
      <w:r w:rsidR="00E56F0E">
        <w:rPr>
          <w:rFonts w:ascii="Cambria" w:hAnsi="Cambria"/>
        </w:rPr>
        <w:t xml:space="preserve"> </w:t>
      </w:r>
      <w:r w:rsidR="002A7E71" w:rsidRPr="00125AE7">
        <w:rPr>
          <w:rFonts w:ascii="Cambria" w:hAnsi="Cambria"/>
        </w:rPr>
        <w:t xml:space="preserve">the core capacity of the </w:t>
      </w:r>
      <w:r w:rsidR="00B11326" w:rsidRPr="00125AE7">
        <w:rPr>
          <w:rFonts w:ascii="Cambria" w:hAnsi="Cambria"/>
        </w:rPr>
        <w:t>drug policy reform field</w:t>
      </w:r>
      <w:r w:rsidR="001A7AEE" w:rsidRPr="00125AE7">
        <w:rPr>
          <w:rFonts w:ascii="Cambria" w:hAnsi="Cambria"/>
        </w:rPr>
        <w:t xml:space="preserve"> in the U.S</w:t>
      </w:r>
      <w:r w:rsidR="002A7E71" w:rsidRPr="00125AE7">
        <w:rPr>
          <w:rFonts w:ascii="Cambria" w:hAnsi="Cambria"/>
        </w:rPr>
        <w:t xml:space="preserve">.  </w:t>
      </w:r>
    </w:p>
    <w:p w14:paraId="278E1601" w14:textId="77777777" w:rsidR="00404B3A" w:rsidRPr="00125AE7" w:rsidRDefault="00404B3A" w:rsidP="00125AE7">
      <w:pPr>
        <w:rPr>
          <w:rFonts w:ascii="Cambria" w:hAnsi="Cambria"/>
        </w:rPr>
      </w:pPr>
    </w:p>
    <w:p w14:paraId="10EEF18B" w14:textId="77777777" w:rsidR="00D03B36" w:rsidRPr="00C21031" w:rsidRDefault="007A5F56" w:rsidP="00406633">
      <w:pPr>
        <w:pStyle w:val="Heading3"/>
        <w:spacing w:before="0"/>
        <w:ind w:left="360"/>
        <w:rPr>
          <w:rFonts w:asciiTheme="majorHAnsi" w:hAnsiTheme="majorHAnsi"/>
          <w:b w:val="0"/>
          <w:color w:val="auto"/>
          <w:sz w:val="22"/>
          <w:szCs w:val="22"/>
          <w:lang w:val="en-US"/>
        </w:rPr>
      </w:pPr>
      <w:bookmarkStart w:id="1" w:name="_Toc328674633"/>
      <w:r w:rsidRPr="00125AE7">
        <w:rPr>
          <w:color w:val="auto"/>
          <w:sz w:val="22"/>
          <w:szCs w:val="22"/>
          <w:u w:val="single"/>
        </w:rPr>
        <w:t>O</w:t>
      </w:r>
      <w:r w:rsidRPr="00C21031">
        <w:rPr>
          <w:rFonts w:asciiTheme="majorHAnsi" w:hAnsiTheme="majorHAnsi"/>
          <w:color w:val="auto"/>
          <w:sz w:val="22"/>
          <w:szCs w:val="22"/>
          <w:u w:val="single"/>
        </w:rPr>
        <w:t>bjective 1</w:t>
      </w:r>
      <w:r w:rsidR="00380159" w:rsidRPr="00C21031">
        <w:rPr>
          <w:rFonts w:asciiTheme="majorHAnsi" w:hAnsiTheme="majorHAnsi"/>
          <w:b w:val="0"/>
          <w:sz w:val="22"/>
          <w:szCs w:val="22"/>
        </w:rPr>
        <w:t xml:space="preserve"> – </w:t>
      </w:r>
      <w:r w:rsidRPr="00C21031">
        <w:rPr>
          <w:rFonts w:asciiTheme="majorHAnsi" w:hAnsiTheme="majorHAnsi"/>
          <w:color w:val="auto"/>
          <w:sz w:val="22"/>
          <w:szCs w:val="22"/>
        </w:rPr>
        <w:t>Build, diversify</w:t>
      </w:r>
      <w:r w:rsidR="00604C91" w:rsidRPr="00C21031">
        <w:rPr>
          <w:rFonts w:asciiTheme="majorHAnsi" w:hAnsiTheme="majorHAnsi"/>
          <w:color w:val="auto"/>
          <w:sz w:val="22"/>
          <w:szCs w:val="22"/>
          <w:lang w:val="en-US"/>
        </w:rPr>
        <w:t xml:space="preserve"> </w:t>
      </w:r>
      <w:r w:rsidRPr="00C21031">
        <w:rPr>
          <w:rFonts w:asciiTheme="majorHAnsi" w:hAnsiTheme="majorHAnsi"/>
          <w:color w:val="auto"/>
          <w:sz w:val="22"/>
          <w:szCs w:val="22"/>
        </w:rPr>
        <w:t xml:space="preserve">and elevate broad support for an alternative paradigm </w:t>
      </w:r>
      <w:bookmarkEnd w:id="1"/>
      <w:r w:rsidR="000B0173" w:rsidRPr="00C21031">
        <w:rPr>
          <w:rFonts w:asciiTheme="majorHAnsi" w:hAnsiTheme="majorHAnsi"/>
          <w:color w:val="auto"/>
          <w:sz w:val="22"/>
          <w:szCs w:val="22"/>
          <w:lang w:val="en-US"/>
        </w:rPr>
        <w:t>for U.S. drug policy by sustaining key organizations</w:t>
      </w:r>
    </w:p>
    <w:p w14:paraId="39B5186B" w14:textId="77777777" w:rsidR="007F4DE2" w:rsidRPr="00C21031" w:rsidRDefault="007F4DE2" w:rsidP="00406633">
      <w:pPr>
        <w:keepNext/>
        <w:keepLines/>
        <w:rPr>
          <w:rFonts w:asciiTheme="majorHAnsi" w:hAnsiTheme="majorHAnsi"/>
          <w:lang w:eastAsia="x-none"/>
        </w:rPr>
      </w:pPr>
    </w:p>
    <w:p w14:paraId="7376A02D" w14:textId="2ACB38C4" w:rsidR="00F87203" w:rsidRPr="00C21031" w:rsidRDefault="00F87203" w:rsidP="00406633">
      <w:pPr>
        <w:pStyle w:val="Heading3"/>
        <w:spacing w:before="0"/>
        <w:ind w:left="720"/>
        <w:rPr>
          <w:rFonts w:asciiTheme="majorHAnsi" w:hAnsiTheme="majorHAnsi"/>
          <w:b w:val="0"/>
          <w:color w:val="auto"/>
          <w:sz w:val="22"/>
          <w:szCs w:val="22"/>
          <w:lang w:val="en-US"/>
        </w:rPr>
      </w:pPr>
      <w:r w:rsidRPr="00C21031">
        <w:rPr>
          <w:rFonts w:asciiTheme="majorHAnsi" w:hAnsiTheme="majorHAnsi"/>
          <w:b w:val="0"/>
          <w:color w:val="auto"/>
          <w:sz w:val="22"/>
          <w:szCs w:val="22"/>
          <w:lang w:val="en-US"/>
        </w:rPr>
        <w:t>2012 grantmaking budget: $</w:t>
      </w:r>
      <w:r w:rsidR="00AA6081" w:rsidRPr="00C21031">
        <w:rPr>
          <w:rFonts w:asciiTheme="majorHAnsi" w:hAnsiTheme="majorHAnsi"/>
          <w:b w:val="0"/>
          <w:color w:val="auto"/>
          <w:sz w:val="22"/>
          <w:szCs w:val="22"/>
          <w:lang w:val="en-US"/>
        </w:rPr>
        <w:t>1,650,000</w:t>
      </w:r>
      <w:r w:rsidRPr="00C21031">
        <w:rPr>
          <w:rFonts w:asciiTheme="majorHAnsi" w:hAnsiTheme="majorHAnsi"/>
          <w:b w:val="0"/>
          <w:color w:val="auto"/>
          <w:sz w:val="22"/>
          <w:szCs w:val="22"/>
          <w:lang w:val="en-US"/>
        </w:rPr>
        <w:t xml:space="preserve"> (non-DPA)</w:t>
      </w:r>
      <w:r w:rsidR="000A13EB" w:rsidRPr="00C21031">
        <w:rPr>
          <w:rFonts w:asciiTheme="majorHAnsi" w:hAnsiTheme="majorHAnsi"/>
          <w:b w:val="0"/>
          <w:color w:val="auto"/>
          <w:sz w:val="22"/>
          <w:szCs w:val="22"/>
          <w:lang w:val="en-US"/>
        </w:rPr>
        <w:t>; $4,000,000 DPA</w:t>
      </w:r>
    </w:p>
    <w:p w14:paraId="28EBE05A" w14:textId="77777777" w:rsidR="00F87203" w:rsidRPr="00C21031" w:rsidRDefault="00EE1324" w:rsidP="00406633">
      <w:pPr>
        <w:pStyle w:val="Heading3"/>
        <w:spacing w:before="0"/>
        <w:ind w:left="720"/>
        <w:rPr>
          <w:rFonts w:asciiTheme="majorHAnsi" w:hAnsiTheme="majorHAnsi"/>
          <w:b w:val="0"/>
          <w:color w:val="auto"/>
          <w:sz w:val="22"/>
          <w:szCs w:val="22"/>
          <w:lang w:val="en-US"/>
        </w:rPr>
      </w:pPr>
      <w:r w:rsidRPr="00C21031">
        <w:rPr>
          <w:rFonts w:asciiTheme="majorHAnsi" w:hAnsiTheme="majorHAnsi"/>
          <w:b w:val="0"/>
          <w:color w:val="auto"/>
          <w:sz w:val="22"/>
          <w:szCs w:val="22"/>
          <w:lang w:val="en-US"/>
        </w:rPr>
        <w:t>201</w:t>
      </w:r>
      <w:r w:rsidR="00F87203" w:rsidRPr="00C21031">
        <w:rPr>
          <w:rFonts w:asciiTheme="majorHAnsi" w:hAnsiTheme="majorHAnsi"/>
          <w:b w:val="0"/>
          <w:color w:val="auto"/>
          <w:sz w:val="22"/>
          <w:szCs w:val="22"/>
          <w:lang w:val="en-US"/>
        </w:rPr>
        <w:t>3</w:t>
      </w:r>
      <w:r w:rsidRPr="00C21031">
        <w:rPr>
          <w:rFonts w:asciiTheme="majorHAnsi" w:hAnsiTheme="majorHAnsi"/>
          <w:b w:val="0"/>
          <w:color w:val="auto"/>
          <w:sz w:val="22"/>
          <w:szCs w:val="22"/>
          <w:lang w:val="en-US"/>
        </w:rPr>
        <w:t xml:space="preserve"> </w:t>
      </w:r>
      <w:r w:rsidR="00F87203" w:rsidRPr="00C21031">
        <w:rPr>
          <w:rFonts w:asciiTheme="majorHAnsi" w:hAnsiTheme="majorHAnsi"/>
          <w:b w:val="0"/>
          <w:color w:val="auto"/>
          <w:sz w:val="22"/>
          <w:szCs w:val="22"/>
          <w:lang w:val="en-US"/>
        </w:rPr>
        <w:t>grantmaking budget: $</w:t>
      </w:r>
      <w:r w:rsidR="00EA3911" w:rsidRPr="00C21031">
        <w:rPr>
          <w:rFonts w:asciiTheme="majorHAnsi" w:hAnsiTheme="majorHAnsi"/>
          <w:b w:val="0"/>
          <w:color w:val="auto"/>
          <w:sz w:val="22"/>
          <w:szCs w:val="22"/>
          <w:lang w:val="en-US"/>
        </w:rPr>
        <w:t>1,080</w:t>
      </w:r>
      <w:r w:rsidR="00F87203" w:rsidRPr="00C21031">
        <w:rPr>
          <w:rFonts w:asciiTheme="majorHAnsi" w:hAnsiTheme="majorHAnsi"/>
          <w:b w:val="0"/>
          <w:color w:val="auto"/>
          <w:sz w:val="22"/>
          <w:szCs w:val="22"/>
          <w:lang w:val="en-US"/>
        </w:rPr>
        <w:t>,000 (non-DPA)</w:t>
      </w:r>
      <w:r w:rsidR="000A13EB" w:rsidRPr="00C21031">
        <w:rPr>
          <w:rFonts w:asciiTheme="majorHAnsi" w:hAnsiTheme="majorHAnsi"/>
          <w:b w:val="0"/>
          <w:color w:val="auto"/>
          <w:sz w:val="22"/>
          <w:szCs w:val="22"/>
          <w:lang w:val="en-US"/>
        </w:rPr>
        <w:t>; $5,000,000 DPA</w:t>
      </w:r>
    </w:p>
    <w:p w14:paraId="7C0A95DD" w14:textId="77777777" w:rsidR="000A13EB" w:rsidRPr="00C21031" w:rsidRDefault="00F87203" w:rsidP="00406633">
      <w:pPr>
        <w:keepNext/>
        <w:keepLines/>
        <w:ind w:left="720"/>
        <w:rPr>
          <w:rFonts w:asciiTheme="majorHAnsi" w:hAnsiTheme="majorHAnsi"/>
          <w:lang w:eastAsia="x-none"/>
        </w:rPr>
      </w:pPr>
      <w:r w:rsidRPr="00C21031">
        <w:rPr>
          <w:rFonts w:asciiTheme="majorHAnsi" w:hAnsiTheme="majorHAnsi"/>
        </w:rPr>
        <w:t xml:space="preserve">2014 grantmaking budget: </w:t>
      </w:r>
      <w:r w:rsidR="000A13EB" w:rsidRPr="00C21031">
        <w:rPr>
          <w:rFonts w:asciiTheme="majorHAnsi" w:hAnsiTheme="majorHAnsi"/>
        </w:rPr>
        <w:t xml:space="preserve">    </w:t>
      </w:r>
      <w:r w:rsidRPr="00C21031">
        <w:rPr>
          <w:rFonts w:asciiTheme="majorHAnsi" w:hAnsiTheme="majorHAnsi"/>
        </w:rPr>
        <w:t>$850,000 (non-DPA)</w:t>
      </w:r>
      <w:r w:rsidR="000A13EB" w:rsidRPr="00C21031">
        <w:rPr>
          <w:rFonts w:asciiTheme="majorHAnsi" w:hAnsiTheme="majorHAnsi"/>
        </w:rPr>
        <w:t xml:space="preserve">; $5,000,000 DPA </w:t>
      </w:r>
    </w:p>
    <w:p w14:paraId="3D242FD4" w14:textId="77777777" w:rsidR="00A47F25" w:rsidRPr="00C21031" w:rsidRDefault="00A47F25" w:rsidP="00125AE7">
      <w:pPr>
        <w:pStyle w:val="Heading3"/>
        <w:keepNext w:val="0"/>
        <w:keepLines w:val="0"/>
        <w:spacing w:before="0"/>
        <w:ind w:left="720"/>
        <w:rPr>
          <w:rFonts w:asciiTheme="majorHAnsi" w:hAnsiTheme="majorHAnsi"/>
          <w:b w:val="0"/>
          <w:color w:val="auto"/>
          <w:sz w:val="22"/>
          <w:szCs w:val="22"/>
          <w:lang w:val="en-US"/>
        </w:rPr>
      </w:pPr>
    </w:p>
    <w:p w14:paraId="304BAB43" w14:textId="77777777" w:rsidR="00B50357" w:rsidRPr="00C21031" w:rsidRDefault="00B50357" w:rsidP="00125AE7">
      <w:pPr>
        <w:ind w:left="720"/>
        <w:rPr>
          <w:rFonts w:asciiTheme="majorHAnsi" w:hAnsiTheme="majorHAnsi"/>
          <w:lang w:eastAsia="x-none"/>
        </w:rPr>
      </w:pPr>
      <w:r w:rsidRPr="00C21031">
        <w:rPr>
          <w:rFonts w:asciiTheme="majorHAnsi" w:hAnsiTheme="majorHAnsi"/>
          <w:bCs/>
        </w:rPr>
        <w:t>Program responsibility: Andy Ko and Jamie Wood</w:t>
      </w:r>
    </w:p>
    <w:p w14:paraId="61F5FB9C" w14:textId="77777777" w:rsidR="00B50357" w:rsidRPr="00C21031" w:rsidRDefault="00B50357" w:rsidP="00125AE7">
      <w:pPr>
        <w:rPr>
          <w:rFonts w:asciiTheme="majorHAnsi" w:hAnsiTheme="majorHAnsi"/>
          <w:lang w:eastAsia="x-none"/>
        </w:rPr>
      </w:pPr>
    </w:p>
    <w:p w14:paraId="34C27A72" w14:textId="77777777" w:rsidR="00644E65" w:rsidRPr="00C21031" w:rsidRDefault="000A13EB" w:rsidP="00125AE7">
      <w:pPr>
        <w:rPr>
          <w:rFonts w:asciiTheme="majorHAnsi" w:hAnsiTheme="majorHAnsi"/>
          <w:lang w:eastAsia="x-none"/>
        </w:rPr>
      </w:pPr>
      <w:r w:rsidRPr="00C21031">
        <w:rPr>
          <w:rFonts w:asciiTheme="majorHAnsi" w:hAnsiTheme="majorHAnsi"/>
          <w:lang w:eastAsia="x-none"/>
        </w:rPr>
        <w:t xml:space="preserve">Grantmaking in this category </w:t>
      </w:r>
      <w:r w:rsidR="00644E65" w:rsidRPr="00C21031">
        <w:rPr>
          <w:rFonts w:asciiTheme="majorHAnsi" w:hAnsiTheme="majorHAnsi"/>
          <w:lang w:eastAsia="x-none"/>
        </w:rPr>
        <w:t>support</w:t>
      </w:r>
      <w:r w:rsidR="00E56F0E" w:rsidRPr="00C21031">
        <w:rPr>
          <w:rFonts w:asciiTheme="majorHAnsi" w:hAnsiTheme="majorHAnsi"/>
          <w:lang w:eastAsia="x-none"/>
        </w:rPr>
        <w:t>s</w:t>
      </w:r>
      <w:r w:rsidR="00644E65" w:rsidRPr="00C21031">
        <w:rPr>
          <w:rFonts w:asciiTheme="majorHAnsi" w:hAnsiTheme="majorHAnsi"/>
          <w:lang w:eastAsia="x-none"/>
        </w:rPr>
        <w:t xml:space="preserve"> key drug policy reform organizations that are nationally active</w:t>
      </w:r>
      <w:r w:rsidR="00970AE9" w:rsidRPr="00C21031">
        <w:rPr>
          <w:rFonts w:asciiTheme="majorHAnsi" w:hAnsiTheme="majorHAnsi"/>
          <w:lang w:eastAsia="x-none"/>
        </w:rPr>
        <w:t xml:space="preserve"> and act both</w:t>
      </w:r>
      <w:r w:rsidR="00E56F0E" w:rsidRPr="00C21031">
        <w:rPr>
          <w:rFonts w:asciiTheme="majorHAnsi" w:hAnsiTheme="majorHAnsi"/>
          <w:lang w:eastAsia="x-none"/>
        </w:rPr>
        <w:t xml:space="preserve"> as</w:t>
      </w:r>
      <w:r w:rsidR="00970AE9" w:rsidRPr="00C21031">
        <w:rPr>
          <w:rFonts w:asciiTheme="majorHAnsi" w:hAnsiTheme="majorHAnsi"/>
          <w:lang w:eastAsia="x-none"/>
        </w:rPr>
        <w:t xml:space="preserve"> independent advocates and resources to the field. These </w:t>
      </w:r>
      <w:r w:rsidR="00E56F0E" w:rsidRPr="00C21031">
        <w:rPr>
          <w:rFonts w:asciiTheme="majorHAnsi" w:hAnsiTheme="majorHAnsi"/>
          <w:lang w:eastAsia="x-none"/>
        </w:rPr>
        <w:t xml:space="preserve">grants </w:t>
      </w:r>
      <w:r w:rsidR="00970AE9" w:rsidRPr="00C21031">
        <w:rPr>
          <w:rFonts w:asciiTheme="majorHAnsi" w:hAnsiTheme="majorHAnsi"/>
          <w:lang w:eastAsia="x-none"/>
        </w:rPr>
        <w:t>are</w:t>
      </w:r>
      <w:r w:rsidR="008C3DB9" w:rsidRPr="00C21031">
        <w:rPr>
          <w:rFonts w:asciiTheme="majorHAnsi" w:hAnsiTheme="majorHAnsi"/>
          <w:lang w:eastAsia="x-none"/>
        </w:rPr>
        <w:t xml:space="preserve"> now</w:t>
      </w:r>
      <w:r w:rsidR="00970AE9" w:rsidRPr="00C21031">
        <w:rPr>
          <w:rFonts w:asciiTheme="majorHAnsi" w:hAnsiTheme="majorHAnsi"/>
          <w:lang w:eastAsia="x-none"/>
        </w:rPr>
        <w:t xml:space="preserve"> limited by </w:t>
      </w:r>
      <w:r w:rsidR="00A33C50" w:rsidRPr="00C21031">
        <w:rPr>
          <w:rFonts w:asciiTheme="majorHAnsi" w:hAnsiTheme="majorHAnsi"/>
          <w:lang w:eastAsia="x-none"/>
        </w:rPr>
        <w:t xml:space="preserve">the campaign’s </w:t>
      </w:r>
      <w:r w:rsidR="00970AE9" w:rsidRPr="00C21031">
        <w:rPr>
          <w:rFonts w:asciiTheme="majorHAnsi" w:hAnsiTheme="majorHAnsi"/>
          <w:lang w:eastAsia="x-none"/>
        </w:rPr>
        <w:t xml:space="preserve">budget to </w:t>
      </w:r>
      <w:r w:rsidR="00644E65" w:rsidRPr="00C21031">
        <w:rPr>
          <w:rFonts w:asciiTheme="majorHAnsi" w:hAnsiTheme="majorHAnsi"/>
          <w:lang w:eastAsia="x-none"/>
        </w:rPr>
        <w:t xml:space="preserve">the Drug Policy Alliance, the Harm Reduction Coalition, Students for Sensible Drug Policy and Law Enforcement Against Prohibition. </w:t>
      </w:r>
    </w:p>
    <w:p w14:paraId="23E03B09" w14:textId="77777777" w:rsidR="00970AE9" w:rsidRDefault="00970AE9" w:rsidP="00125AE7">
      <w:pPr>
        <w:rPr>
          <w:rFonts w:ascii="Cambria" w:hAnsi="Cambria"/>
          <w:lang w:eastAsia="x-none"/>
        </w:rPr>
      </w:pPr>
    </w:p>
    <w:p w14:paraId="6C459704" w14:textId="77777777" w:rsidR="005F6637" w:rsidRDefault="00970AE9" w:rsidP="00125AE7">
      <w:pPr>
        <w:rPr>
          <w:rFonts w:ascii="Cambria" w:hAnsi="Cambria"/>
          <w:lang w:eastAsia="x-none"/>
        </w:rPr>
      </w:pPr>
      <w:r>
        <w:rPr>
          <w:rFonts w:ascii="Cambria" w:hAnsi="Cambria"/>
          <w:lang w:eastAsia="x-none"/>
        </w:rPr>
        <w:t xml:space="preserve">The goal of this area of grantmaking is to sustain a standing corps of drug policy reform advocates able to engage key constituencies and/or respond to emerging opportunities and challenges.  The Drug Policy Alliance (DPA), with its able and comparatively large staff, national and state/local programs, independent grantmaking program, legal program and substantial budget is the </w:t>
      </w:r>
      <w:r w:rsidR="00E56F0E">
        <w:rPr>
          <w:rFonts w:ascii="Cambria" w:hAnsi="Cambria"/>
          <w:lang w:eastAsia="x-none"/>
        </w:rPr>
        <w:t>acknowledged leader in the field</w:t>
      </w:r>
      <w:r>
        <w:rPr>
          <w:rFonts w:ascii="Cambria" w:hAnsi="Cambria"/>
          <w:lang w:eastAsia="x-none"/>
        </w:rPr>
        <w:t>.</w:t>
      </w:r>
      <w:r w:rsidR="00A33C50">
        <w:rPr>
          <w:rFonts w:ascii="Cambria" w:hAnsi="Cambria"/>
          <w:lang w:eastAsia="x-none"/>
        </w:rPr>
        <w:t xml:space="preserve">  In 2012, as part of a 10-year commitment of $5,000,000 annually directed by George Soros, CNDP allocated $4,000,000 to a general support grant for DPA, with the remaining $1,000,000 disbursed </w:t>
      </w:r>
      <w:r w:rsidR="005F6637">
        <w:rPr>
          <w:rFonts w:ascii="Cambria" w:hAnsi="Cambria"/>
          <w:lang w:eastAsia="x-none"/>
        </w:rPr>
        <w:t>from</w:t>
      </w:r>
      <w:r w:rsidR="00A33C50">
        <w:rPr>
          <w:rFonts w:ascii="Cambria" w:hAnsi="Cambria"/>
          <w:lang w:eastAsia="x-none"/>
        </w:rPr>
        <w:t xml:space="preserve"> USP Board funds.  </w:t>
      </w:r>
      <w:r w:rsidR="005F6637">
        <w:rPr>
          <w:rFonts w:ascii="Cambria" w:hAnsi="Cambria"/>
          <w:lang w:eastAsia="x-none"/>
        </w:rPr>
        <w:t>By 2013, the USP Board contribution was ended and the entire $5,000,000 grant to DPA has since been drawn from the CNDP grantmaking budget.</w:t>
      </w:r>
    </w:p>
    <w:p w14:paraId="44BF70FC" w14:textId="77777777" w:rsidR="005F6637" w:rsidRDefault="005F6637" w:rsidP="00125AE7">
      <w:pPr>
        <w:rPr>
          <w:rFonts w:ascii="Cambria" w:hAnsi="Cambria"/>
          <w:lang w:eastAsia="x-none"/>
        </w:rPr>
      </w:pPr>
    </w:p>
    <w:p w14:paraId="7F5E4930" w14:textId="77777777" w:rsidR="00970AE9" w:rsidRDefault="005F6637" w:rsidP="00125AE7">
      <w:pPr>
        <w:rPr>
          <w:rFonts w:ascii="Cambria" w:hAnsi="Cambria"/>
          <w:lang w:eastAsia="x-none"/>
        </w:rPr>
      </w:pPr>
      <w:r>
        <w:rPr>
          <w:rFonts w:ascii="Cambria" w:hAnsi="Cambria"/>
          <w:lang w:eastAsia="x-none"/>
        </w:rPr>
        <w:t xml:space="preserve">The effective halving of this grantmaking budget line from 2012 to 2014 required CNDP to scale back the originally intended scope of Objective 1, which included the goal of </w:t>
      </w:r>
      <w:r w:rsidR="00821265">
        <w:rPr>
          <w:rFonts w:ascii="Cambria" w:hAnsi="Cambria"/>
          <w:lang w:eastAsia="x-none"/>
        </w:rPr>
        <w:t xml:space="preserve">building the capacity </w:t>
      </w:r>
      <w:r w:rsidR="003C37F0">
        <w:rPr>
          <w:rFonts w:ascii="Cambria" w:hAnsi="Cambria"/>
          <w:lang w:eastAsia="x-none"/>
        </w:rPr>
        <w:t xml:space="preserve">of </w:t>
      </w:r>
      <w:r w:rsidR="00821265">
        <w:rPr>
          <w:rFonts w:ascii="Cambria" w:hAnsi="Cambria"/>
          <w:lang w:eastAsia="x-none"/>
        </w:rPr>
        <w:t xml:space="preserve">organizations representing </w:t>
      </w:r>
      <w:r w:rsidR="003C37F0">
        <w:rPr>
          <w:rFonts w:ascii="Cambria" w:hAnsi="Cambria"/>
          <w:lang w:eastAsia="x-none"/>
        </w:rPr>
        <w:t xml:space="preserve">directly </w:t>
      </w:r>
      <w:r w:rsidR="00821265">
        <w:rPr>
          <w:rFonts w:ascii="Cambria" w:hAnsi="Cambria"/>
          <w:lang w:eastAsia="x-none"/>
        </w:rPr>
        <w:t xml:space="preserve">affected populations to undertake drug policy reform work. We </w:t>
      </w:r>
      <w:r w:rsidR="003C37F0">
        <w:rPr>
          <w:rFonts w:ascii="Cambria" w:hAnsi="Cambria"/>
          <w:lang w:eastAsia="x-none"/>
        </w:rPr>
        <w:t xml:space="preserve">designated some organizations for </w:t>
      </w:r>
      <w:r w:rsidR="00821265">
        <w:rPr>
          <w:rFonts w:ascii="Cambria" w:hAnsi="Cambria"/>
          <w:lang w:eastAsia="x-none"/>
        </w:rPr>
        <w:t>tie</w:t>
      </w:r>
      <w:r w:rsidR="003C37F0">
        <w:rPr>
          <w:rFonts w:ascii="Cambria" w:hAnsi="Cambria"/>
          <w:lang w:eastAsia="x-none"/>
        </w:rPr>
        <w:t>-</w:t>
      </w:r>
      <w:r w:rsidR="00821265">
        <w:rPr>
          <w:rFonts w:ascii="Cambria" w:hAnsi="Cambria"/>
          <w:lang w:eastAsia="x-none"/>
        </w:rPr>
        <w:t xml:space="preserve">off </w:t>
      </w:r>
      <w:r w:rsidR="003C37F0">
        <w:rPr>
          <w:rFonts w:ascii="Cambria" w:hAnsi="Cambria"/>
          <w:lang w:eastAsia="x-none"/>
        </w:rPr>
        <w:t>grants and adjusted funding among remaining grantees to ensure at least a minimal degree of financial stability</w:t>
      </w:r>
      <w:r w:rsidR="00B64180">
        <w:rPr>
          <w:rFonts w:ascii="Cambria" w:hAnsi="Cambria"/>
          <w:lang w:eastAsia="x-none"/>
        </w:rPr>
        <w:t xml:space="preserve">.  We stuck with the Harm Reduction Coalition, which is the leading advocate for harm reduction responses to drug use in the U.S.  We also renewed Law Enforcement Against Prohibition </w:t>
      </w:r>
      <w:r w:rsidR="008C3DB9">
        <w:rPr>
          <w:rFonts w:ascii="Cambria" w:hAnsi="Cambria"/>
          <w:lang w:eastAsia="x-none"/>
        </w:rPr>
        <w:t xml:space="preserve">for its </w:t>
      </w:r>
      <w:r w:rsidR="00B64180">
        <w:rPr>
          <w:rFonts w:ascii="Cambria" w:hAnsi="Cambria"/>
          <w:lang w:eastAsia="x-none"/>
        </w:rPr>
        <w:t xml:space="preserve">role in bringing </w:t>
      </w:r>
      <w:r w:rsidR="003C37F0">
        <w:rPr>
          <w:rFonts w:ascii="Cambria" w:hAnsi="Cambria"/>
          <w:lang w:eastAsia="x-none"/>
        </w:rPr>
        <w:t xml:space="preserve">the viewpoint of </w:t>
      </w:r>
      <w:r w:rsidR="00B64180">
        <w:rPr>
          <w:rFonts w:ascii="Cambria" w:hAnsi="Cambria"/>
          <w:lang w:eastAsia="x-none"/>
        </w:rPr>
        <w:t xml:space="preserve">law </w:t>
      </w:r>
      <w:r w:rsidR="008C3DB9">
        <w:rPr>
          <w:rFonts w:ascii="Cambria" w:hAnsi="Cambria"/>
          <w:lang w:eastAsia="x-none"/>
        </w:rPr>
        <w:t xml:space="preserve">enforcement </w:t>
      </w:r>
      <w:r w:rsidR="003C37F0">
        <w:rPr>
          <w:rFonts w:ascii="Cambria" w:hAnsi="Cambria"/>
          <w:lang w:eastAsia="x-none"/>
        </w:rPr>
        <w:t xml:space="preserve">professional </w:t>
      </w:r>
      <w:r w:rsidR="008C3DB9">
        <w:rPr>
          <w:rFonts w:ascii="Cambria" w:hAnsi="Cambria"/>
          <w:lang w:eastAsia="x-none"/>
        </w:rPr>
        <w:t>in</w:t>
      </w:r>
      <w:r w:rsidR="003B3198">
        <w:rPr>
          <w:rFonts w:ascii="Cambria" w:hAnsi="Cambria"/>
          <w:lang w:eastAsia="x-none"/>
        </w:rPr>
        <w:t>to</w:t>
      </w:r>
      <w:r w:rsidR="008C3DB9">
        <w:rPr>
          <w:rFonts w:ascii="Cambria" w:hAnsi="Cambria"/>
          <w:lang w:eastAsia="x-none"/>
        </w:rPr>
        <w:t xml:space="preserve"> drug policy reform</w:t>
      </w:r>
      <w:r w:rsidR="003C37F0">
        <w:rPr>
          <w:rFonts w:ascii="Cambria" w:hAnsi="Cambria"/>
          <w:lang w:eastAsia="x-none"/>
        </w:rPr>
        <w:t xml:space="preserve">, and funded </w:t>
      </w:r>
      <w:r w:rsidR="008C3DB9">
        <w:rPr>
          <w:rFonts w:ascii="Cambria" w:hAnsi="Cambria"/>
          <w:lang w:eastAsia="x-none"/>
        </w:rPr>
        <w:t xml:space="preserve">Students for Sensible Drug Policy </w:t>
      </w:r>
      <w:r w:rsidR="003C37F0">
        <w:rPr>
          <w:rFonts w:ascii="Cambria" w:hAnsi="Cambria"/>
          <w:lang w:eastAsia="x-none"/>
        </w:rPr>
        <w:t xml:space="preserve">for its </w:t>
      </w:r>
      <w:r w:rsidR="008C3DB9">
        <w:rPr>
          <w:rFonts w:ascii="Cambria" w:hAnsi="Cambria"/>
          <w:lang w:eastAsia="x-none"/>
        </w:rPr>
        <w:t>similar role amon</w:t>
      </w:r>
      <w:r w:rsidR="00E96DA9">
        <w:rPr>
          <w:rFonts w:ascii="Cambria" w:hAnsi="Cambria"/>
          <w:lang w:eastAsia="x-none"/>
        </w:rPr>
        <w:t>g</w:t>
      </w:r>
      <w:r w:rsidR="008C3DB9">
        <w:rPr>
          <w:rFonts w:ascii="Cambria" w:hAnsi="Cambria"/>
          <w:lang w:eastAsia="x-none"/>
        </w:rPr>
        <w:t xml:space="preserve"> young people. </w:t>
      </w:r>
    </w:p>
    <w:p w14:paraId="5F2AA7E1" w14:textId="77777777" w:rsidR="008C3DB9" w:rsidRDefault="008C3DB9" w:rsidP="00125AE7">
      <w:pPr>
        <w:rPr>
          <w:rFonts w:ascii="Cambria" w:hAnsi="Cambria"/>
          <w:lang w:eastAsia="x-none"/>
        </w:rPr>
      </w:pPr>
    </w:p>
    <w:p w14:paraId="6CCEE8E2" w14:textId="77777777" w:rsidR="00F146EB" w:rsidRDefault="00F95954" w:rsidP="00125AE7">
      <w:pPr>
        <w:rPr>
          <w:rFonts w:ascii="Cambria" w:hAnsi="Cambria"/>
          <w:lang w:eastAsia="x-none"/>
        </w:rPr>
      </w:pPr>
      <w:r>
        <w:rPr>
          <w:rFonts w:ascii="Cambria" w:hAnsi="Cambria"/>
          <w:lang w:eastAsia="x-none"/>
        </w:rPr>
        <w:t>Certain</w:t>
      </w:r>
      <w:r w:rsidR="0081644F">
        <w:rPr>
          <w:rFonts w:ascii="Cambria" w:hAnsi="Cambria"/>
          <w:lang w:eastAsia="x-none"/>
        </w:rPr>
        <w:t xml:space="preserve"> </w:t>
      </w:r>
      <w:r w:rsidR="001E3909">
        <w:rPr>
          <w:rFonts w:ascii="Cambria" w:hAnsi="Cambria"/>
          <w:lang w:eastAsia="x-none"/>
        </w:rPr>
        <w:t xml:space="preserve">other </w:t>
      </w:r>
      <w:r w:rsidR="0081644F">
        <w:rPr>
          <w:rFonts w:ascii="Cambria" w:hAnsi="Cambria"/>
          <w:lang w:eastAsia="x-none"/>
        </w:rPr>
        <w:t xml:space="preserve">grants </w:t>
      </w:r>
      <w:r>
        <w:rPr>
          <w:rFonts w:ascii="Cambria" w:hAnsi="Cambria"/>
          <w:lang w:eastAsia="x-none"/>
        </w:rPr>
        <w:t>no longer in t</w:t>
      </w:r>
      <w:r w:rsidR="001E3909">
        <w:rPr>
          <w:rFonts w:ascii="Cambria" w:hAnsi="Cambria"/>
          <w:lang w:eastAsia="x-none"/>
        </w:rPr>
        <w:t xml:space="preserve">his group </w:t>
      </w:r>
      <w:r w:rsidR="0081644F">
        <w:rPr>
          <w:rFonts w:ascii="Cambria" w:hAnsi="Cambria"/>
          <w:lang w:eastAsia="x-none"/>
        </w:rPr>
        <w:t xml:space="preserve">were </w:t>
      </w:r>
      <w:r w:rsidR="00FC4AE9">
        <w:rPr>
          <w:rFonts w:ascii="Cambria" w:hAnsi="Cambria"/>
          <w:lang w:eastAsia="x-none"/>
        </w:rPr>
        <w:t xml:space="preserve">either </w:t>
      </w:r>
      <w:r w:rsidR="00C61F8B">
        <w:rPr>
          <w:rFonts w:ascii="Cambria" w:hAnsi="Cambria"/>
          <w:lang w:eastAsia="x-none"/>
        </w:rPr>
        <w:t>time limited</w:t>
      </w:r>
      <w:r w:rsidR="00F146EB">
        <w:rPr>
          <w:rFonts w:ascii="Cambria" w:hAnsi="Cambria"/>
          <w:lang w:eastAsia="x-none"/>
        </w:rPr>
        <w:t xml:space="preserve"> projects</w:t>
      </w:r>
      <w:r w:rsidR="00FC4AE9">
        <w:rPr>
          <w:rFonts w:ascii="Cambria" w:hAnsi="Cambria"/>
          <w:lang w:eastAsia="x-none"/>
        </w:rPr>
        <w:t xml:space="preserve"> or </w:t>
      </w:r>
      <w:r>
        <w:rPr>
          <w:rFonts w:ascii="Cambria" w:hAnsi="Cambria"/>
          <w:lang w:eastAsia="x-none"/>
        </w:rPr>
        <w:t xml:space="preserve">moved to other parts of </w:t>
      </w:r>
      <w:r w:rsidR="0081644F">
        <w:rPr>
          <w:rFonts w:ascii="Cambria" w:hAnsi="Cambria"/>
          <w:lang w:eastAsia="x-none"/>
        </w:rPr>
        <w:t xml:space="preserve">CNDP’s portfolio. </w:t>
      </w:r>
      <w:r w:rsidR="00040E4F">
        <w:rPr>
          <w:rFonts w:ascii="Cambria" w:hAnsi="Cambria"/>
          <w:lang w:eastAsia="x-none"/>
        </w:rPr>
        <w:t xml:space="preserve"> </w:t>
      </w:r>
      <w:r w:rsidR="00F146EB">
        <w:rPr>
          <w:rFonts w:ascii="Cambria" w:hAnsi="Cambria"/>
          <w:lang w:eastAsia="x-none"/>
        </w:rPr>
        <w:t xml:space="preserve">Support </w:t>
      </w:r>
      <w:r w:rsidR="00775332">
        <w:rPr>
          <w:rFonts w:ascii="Cambria" w:hAnsi="Cambria"/>
          <w:lang w:eastAsia="x-none"/>
        </w:rPr>
        <w:t xml:space="preserve">for </w:t>
      </w:r>
      <w:r w:rsidR="00F146EB">
        <w:rPr>
          <w:rFonts w:ascii="Cambria" w:hAnsi="Cambria"/>
          <w:lang w:eastAsia="x-none"/>
        </w:rPr>
        <w:t xml:space="preserve">The Eisenhower Project to </w:t>
      </w:r>
      <w:r w:rsidR="00C61F8B">
        <w:rPr>
          <w:rFonts w:ascii="Cambria" w:hAnsi="Cambria"/>
          <w:lang w:eastAsia="x-none"/>
        </w:rPr>
        <w:t>self-distribute</w:t>
      </w:r>
      <w:r w:rsidR="00F146EB">
        <w:rPr>
          <w:rFonts w:ascii="Cambria" w:hAnsi="Cambria"/>
          <w:lang w:eastAsia="x-none"/>
        </w:rPr>
        <w:t xml:space="preserve"> and build a public education campaign around the documentary film </w:t>
      </w:r>
      <w:r w:rsidR="00F146EB" w:rsidRPr="001E3909">
        <w:rPr>
          <w:rFonts w:ascii="Cambria" w:hAnsi="Cambria"/>
          <w:u w:val="single"/>
          <w:lang w:eastAsia="x-none"/>
        </w:rPr>
        <w:t>The House I Live In</w:t>
      </w:r>
      <w:r w:rsidR="00C61F8B">
        <w:rPr>
          <w:rFonts w:ascii="Cambria" w:hAnsi="Cambria"/>
          <w:lang w:eastAsia="x-none"/>
        </w:rPr>
        <w:t xml:space="preserve"> was time limited. </w:t>
      </w:r>
      <w:r>
        <w:rPr>
          <w:rFonts w:ascii="Cambria" w:hAnsi="Cambria"/>
          <w:lang w:eastAsia="x-none"/>
        </w:rPr>
        <w:t xml:space="preserve">This </w:t>
      </w:r>
      <w:r w:rsidR="00F146EB">
        <w:rPr>
          <w:rFonts w:ascii="Cambria" w:hAnsi="Cambria"/>
          <w:lang w:eastAsia="x-none"/>
        </w:rPr>
        <w:t xml:space="preserve">was an unusual grant for CNDP </w:t>
      </w:r>
      <w:r>
        <w:rPr>
          <w:rFonts w:ascii="Cambria" w:hAnsi="Cambria"/>
          <w:lang w:eastAsia="x-none"/>
        </w:rPr>
        <w:t xml:space="preserve">in that we </w:t>
      </w:r>
      <w:r w:rsidR="001E3909">
        <w:rPr>
          <w:rFonts w:ascii="Cambria" w:hAnsi="Cambria"/>
          <w:lang w:eastAsia="x-none"/>
        </w:rPr>
        <w:t xml:space="preserve">review film-based advocacy proposals with </w:t>
      </w:r>
      <w:r>
        <w:rPr>
          <w:rFonts w:ascii="Cambria" w:hAnsi="Cambria"/>
          <w:lang w:eastAsia="x-none"/>
        </w:rPr>
        <w:t xml:space="preserve">a fairly strong </w:t>
      </w:r>
      <w:r w:rsidR="001E3909">
        <w:rPr>
          <w:rFonts w:ascii="Cambria" w:hAnsi="Cambria"/>
          <w:lang w:eastAsia="x-none"/>
        </w:rPr>
        <w:t>degree of skepticism. The</w:t>
      </w:r>
      <w:r w:rsidR="00AC489B">
        <w:rPr>
          <w:rFonts w:ascii="Cambria" w:hAnsi="Cambria"/>
          <w:lang w:eastAsia="x-none"/>
        </w:rPr>
        <w:t xml:space="preserve"> difference here </w:t>
      </w:r>
      <w:r w:rsidR="001B1D9A">
        <w:rPr>
          <w:rFonts w:ascii="Cambria" w:hAnsi="Cambria"/>
          <w:lang w:eastAsia="x-none"/>
        </w:rPr>
        <w:t xml:space="preserve">– in addition to the film having won the Grand Jury Prize at the Sundance Film festival – </w:t>
      </w:r>
      <w:r w:rsidR="00AC489B">
        <w:rPr>
          <w:rFonts w:ascii="Cambria" w:hAnsi="Cambria"/>
          <w:lang w:eastAsia="x-none"/>
        </w:rPr>
        <w:t xml:space="preserve">was that </w:t>
      </w:r>
      <w:r w:rsidR="001B1D9A">
        <w:rPr>
          <w:rFonts w:ascii="Cambria" w:hAnsi="Cambria"/>
          <w:lang w:eastAsia="x-none"/>
        </w:rPr>
        <w:t xml:space="preserve">CNDP staff </w:t>
      </w:r>
      <w:r w:rsidR="00AC489B">
        <w:rPr>
          <w:rFonts w:ascii="Cambria" w:hAnsi="Cambria"/>
          <w:lang w:eastAsia="x-none"/>
        </w:rPr>
        <w:t>already had</w:t>
      </w:r>
      <w:r w:rsidR="00C61F8B">
        <w:rPr>
          <w:rFonts w:ascii="Cambria" w:hAnsi="Cambria"/>
          <w:lang w:eastAsia="x-none"/>
        </w:rPr>
        <w:t xml:space="preserve"> quite a bit of contact with Eugene</w:t>
      </w:r>
      <w:r w:rsidR="00775332">
        <w:rPr>
          <w:rFonts w:ascii="Cambria" w:hAnsi="Cambria"/>
          <w:lang w:eastAsia="x-none"/>
        </w:rPr>
        <w:t> </w:t>
      </w:r>
      <w:r w:rsidR="00C61F8B">
        <w:rPr>
          <w:rFonts w:ascii="Cambria" w:hAnsi="Cambria"/>
          <w:lang w:eastAsia="x-none"/>
        </w:rPr>
        <w:t xml:space="preserve">Jarecki, director of both the film and the grantee organization, in his capacity as a Soros Justice Fellow and while helping him and his staff develop their command of the issues and relationships within the field. </w:t>
      </w:r>
      <w:r w:rsidR="00AC489B">
        <w:rPr>
          <w:rFonts w:ascii="Cambria" w:hAnsi="Cambria"/>
          <w:lang w:eastAsia="x-none"/>
        </w:rPr>
        <w:t xml:space="preserve">We also </w:t>
      </w:r>
      <w:r w:rsidR="001B1D9A">
        <w:rPr>
          <w:rFonts w:ascii="Cambria" w:hAnsi="Cambria"/>
          <w:lang w:eastAsia="x-none"/>
        </w:rPr>
        <w:t xml:space="preserve">had </w:t>
      </w:r>
      <w:r w:rsidR="00AC489B">
        <w:rPr>
          <w:rFonts w:ascii="Cambria" w:hAnsi="Cambria"/>
          <w:lang w:eastAsia="x-none"/>
        </w:rPr>
        <w:t xml:space="preserve">received very positive reports from a USP </w:t>
      </w:r>
      <w:r w:rsidR="006434B5">
        <w:rPr>
          <w:rFonts w:ascii="Cambria" w:hAnsi="Cambria"/>
          <w:lang w:eastAsia="x-none"/>
        </w:rPr>
        <w:t>colleague</w:t>
      </w:r>
      <w:r w:rsidR="00AC489B">
        <w:rPr>
          <w:rFonts w:ascii="Cambria" w:hAnsi="Cambria"/>
          <w:lang w:eastAsia="x-none"/>
        </w:rPr>
        <w:t xml:space="preserve"> regarding </w:t>
      </w:r>
      <w:r w:rsidR="006434B5">
        <w:rPr>
          <w:rFonts w:ascii="Cambria" w:hAnsi="Cambria"/>
          <w:lang w:eastAsia="x-none"/>
        </w:rPr>
        <w:t xml:space="preserve">Jarecki’s capacity for strategic advocacy. </w:t>
      </w:r>
      <w:r w:rsidR="00C61F8B">
        <w:rPr>
          <w:rFonts w:ascii="Cambria" w:hAnsi="Cambria"/>
          <w:lang w:eastAsia="x-none"/>
        </w:rPr>
        <w:t xml:space="preserve">Even if our expectations </w:t>
      </w:r>
      <w:r w:rsidR="00AC489B">
        <w:rPr>
          <w:rFonts w:ascii="Cambria" w:hAnsi="Cambria"/>
          <w:lang w:eastAsia="x-none"/>
        </w:rPr>
        <w:t xml:space="preserve">of the potential outcomes </w:t>
      </w:r>
      <w:r w:rsidR="001B1D9A">
        <w:rPr>
          <w:rFonts w:ascii="Cambria" w:hAnsi="Cambria"/>
          <w:lang w:eastAsia="x-none"/>
        </w:rPr>
        <w:t>had been</w:t>
      </w:r>
      <w:r w:rsidR="00AC489B">
        <w:rPr>
          <w:rFonts w:ascii="Cambria" w:hAnsi="Cambria"/>
          <w:lang w:eastAsia="x-none"/>
        </w:rPr>
        <w:t xml:space="preserve"> much higher, we </w:t>
      </w:r>
      <w:r w:rsidR="001B1D9A">
        <w:rPr>
          <w:rFonts w:ascii="Cambria" w:hAnsi="Cambria"/>
          <w:lang w:eastAsia="x-none"/>
        </w:rPr>
        <w:t xml:space="preserve">likely </w:t>
      </w:r>
      <w:r w:rsidR="00AC489B">
        <w:rPr>
          <w:rFonts w:ascii="Cambria" w:hAnsi="Cambria"/>
          <w:lang w:eastAsia="x-none"/>
        </w:rPr>
        <w:t>would have been very positively surprised by how widely the fil</w:t>
      </w:r>
      <w:r w:rsidR="006434B5">
        <w:rPr>
          <w:rFonts w:ascii="Cambria" w:hAnsi="Cambria"/>
          <w:lang w:eastAsia="x-none"/>
        </w:rPr>
        <w:t xml:space="preserve">m </w:t>
      </w:r>
      <w:r w:rsidR="001B1D9A">
        <w:rPr>
          <w:rFonts w:ascii="Cambria" w:hAnsi="Cambria"/>
          <w:lang w:eastAsia="x-none"/>
        </w:rPr>
        <w:t>became known</w:t>
      </w:r>
      <w:r w:rsidR="001933CE">
        <w:rPr>
          <w:rFonts w:ascii="Cambria" w:hAnsi="Cambria"/>
          <w:lang w:eastAsia="x-none"/>
        </w:rPr>
        <w:t xml:space="preserve"> in the U.S. and abroad</w:t>
      </w:r>
      <w:r w:rsidR="006434B5">
        <w:rPr>
          <w:rFonts w:ascii="Cambria" w:hAnsi="Cambria"/>
          <w:lang w:eastAsia="x-none"/>
        </w:rPr>
        <w:t>, the partners Jarecki and his team att</w:t>
      </w:r>
      <w:r w:rsidR="001933CE">
        <w:rPr>
          <w:rFonts w:ascii="Cambria" w:hAnsi="Cambria"/>
          <w:lang w:eastAsia="x-none"/>
        </w:rPr>
        <w:t>r</w:t>
      </w:r>
      <w:r w:rsidR="006434B5">
        <w:rPr>
          <w:rFonts w:ascii="Cambria" w:hAnsi="Cambria"/>
          <w:lang w:eastAsia="x-none"/>
        </w:rPr>
        <w:t>ac</w:t>
      </w:r>
      <w:r w:rsidR="001933CE">
        <w:rPr>
          <w:rFonts w:ascii="Cambria" w:hAnsi="Cambria"/>
          <w:lang w:eastAsia="x-none"/>
        </w:rPr>
        <w:t>t</w:t>
      </w:r>
      <w:r w:rsidR="006434B5">
        <w:rPr>
          <w:rFonts w:ascii="Cambria" w:hAnsi="Cambria"/>
          <w:lang w:eastAsia="x-none"/>
        </w:rPr>
        <w:t>ed, and his ability t</w:t>
      </w:r>
      <w:r w:rsidR="001933CE">
        <w:rPr>
          <w:rFonts w:ascii="Cambria" w:hAnsi="Cambria"/>
          <w:lang w:eastAsia="x-none"/>
        </w:rPr>
        <w:t>o get his message about the war on drugs heard (TED talks, Charlie Rose, John Stewart, etc</w:t>
      </w:r>
      <w:r w:rsidR="006F76DD">
        <w:rPr>
          <w:rFonts w:ascii="Cambria" w:hAnsi="Cambria"/>
          <w:lang w:eastAsia="x-none"/>
        </w:rPr>
        <w:t>.</w:t>
      </w:r>
      <w:r w:rsidR="001933CE">
        <w:rPr>
          <w:rFonts w:ascii="Cambria" w:hAnsi="Cambria"/>
          <w:lang w:eastAsia="x-none"/>
        </w:rPr>
        <w:t>).</w:t>
      </w:r>
      <w:r w:rsidR="00775332">
        <w:rPr>
          <w:rFonts w:ascii="Cambria" w:hAnsi="Cambria"/>
          <w:lang w:eastAsia="x-none"/>
        </w:rPr>
        <w:t xml:space="preserve"> </w:t>
      </w:r>
    </w:p>
    <w:p w14:paraId="58C91D9C" w14:textId="77777777" w:rsidR="001933CE" w:rsidRDefault="001933CE" w:rsidP="00125AE7">
      <w:pPr>
        <w:rPr>
          <w:rFonts w:ascii="Cambria" w:hAnsi="Cambria"/>
          <w:lang w:eastAsia="x-none"/>
        </w:rPr>
      </w:pPr>
    </w:p>
    <w:p w14:paraId="3681DF16" w14:textId="77777777" w:rsidR="001933CE" w:rsidRPr="00F146EB" w:rsidRDefault="00AE2A09" w:rsidP="00125AE7">
      <w:pPr>
        <w:rPr>
          <w:rFonts w:ascii="Cambria" w:hAnsi="Cambria"/>
          <w:lang w:eastAsia="x-none"/>
        </w:rPr>
      </w:pPr>
      <w:r>
        <w:rPr>
          <w:rFonts w:ascii="Cambria" w:hAnsi="Cambria"/>
          <w:lang w:eastAsia="x-none"/>
        </w:rPr>
        <w:t xml:space="preserve">The </w:t>
      </w:r>
      <w:r w:rsidRPr="001933CE">
        <w:rPr>
          <w:rFonts w:ascii="Cambria" w:hAnsi="Cambria"/>
          <w:lang w:eastAsia="x-none"/>
        </w:rPr>
        <w:t>Institute of the Black World 21st Century</w:t>
      </w:r>
      <w:r>
        <w:rPr>
          <w:rFonts w:ascii="Cambria" w:hAnsi="Cambria"/>
          <w:lang w:eastAsia="x-none"/>
        </w:rPr>
        <w:t xml:space="preserve"> (IBW21)</w:t>
      </w:r>
      <w:r w:rsidR="006F76DD">
        <w:rPr>
          <w:rFonts w:ascii="Cambria" w:hAnsi="Cambria"/>
          <w:lang w:eastAsia="x-none"/>
        </w:rPr>
        <w:t xml:space="preserve"> is an example of</w:t>
      </w:r>
      <w:r>
        <w:rPr>
          <w:rFonts w:ascii="Cambria" w:hAnsi="Cambria"/>
          <w:lang w:eastAsia="x-none"/>
        </w:rPr>
        <w:t xml:space="preserve"> a </w:t>
      </w:r>
      <w:r w:rsidR="006F76DD">
        <w:rPr>
          <w:rFonts w:ascii="Cambria" w:hAnsi="Cambria"/>
          <w:lang w:eastAsia="x-none"/>
        </w:rPr>
        <w:t xml:space="preserve">grantee </w:t>
      </w:r>
      <w:r w:rsidR="001933CE">
        <w:rPr>
          <w:rFonts w:ascii="Cambria" w:hAnsi="Cambria"/>
          <w:lang w:eastAsia="x-none"/>
        </w:rPr>
        <w:t xml:space="preserve">that we moved </w:t>
      </w:r>
      <w:r w:rsidR="006F76DD">
        <w:rPr>
          <w:rFonts w:ascii="Cambria" w:hAnsi="Cambria"/>
          <w:lang w:eastAsia="x-none"/>
        </w:rPr>
        <w:t xml:space="preserve">from this grouping to </w:t>
      </w:r>
      <w:r w:rsidR="001933CE">
        <w:rPr>
          <w:rFonts w:ascii="Cambria" w:hAnsi="Cambria"/>
          <w:lang w:eastAsia="x-none"/>
        </w:rPr>
        <w:t>a</w:t>
      </w:r>
      <w:r w:rsidR="006F76DD">
        <w:rPr>
          <w:rFonts w:ascii="Cambria" w:hAnsi="Cambria"/>
          <w:lang w:eastAsia="x-none"/>
        </w:rPr>
        <w:t>nother part of the portfolio</w:t>
      </w:r>
      <w:r w:rsidR="00232C7F">
        <w:rPr>
          <w:rFonts w:ascii="Cambria" w:hAnsi="Cambria"/>
          <w:lang w:eastAsia="x-none"/>
        </w:rPr>
        <w:t xml:space="preserve"> (</w:t>
      </w:r>
      <w:r w:rsidR="006F76DD">
        <w:rPr>
          <w:rFonts w:ascii="Cambria" w:hAnsi="Cambria"/>
          <w:lang w:eastAsia="x-none"/>
        </w:rPr>
        <w:t>Objective 3</w:t>
      </w:r>
      <w:r w:rsidR="00FC4AE9">
        <w:rPr>
          <w:rFonts w:ascii="Cambria" w:hAnsi="Cambria"/>
          <w:lang w:eastAsia="x-none"/>
        </w:rPr>
        <w:t xml:space="preserve"> – </w:t>
      </w:r>
      <w:r w:rsidR="00775332">
        <w:rPr>
          <w:rFonts w:ascii="Cambria" w:hAnsi="Cambria"/>
          <w:lang w:eastAsia="x-none"/>
        </w:rPr>
        <w:t>c</w:t>
      </w:r>
      <w:r w:rsidR="00FC4AE9">
        <w:rPr>
          <w:rFonts w:ascii="Cambria" w:hAnsi="Cambria"/>
          <w:lang w:eastAsia="x-none"/>
        </w:rPr>
        <w:t>ommunity-level alternatives</w:t>
      </w:r>
      <w:r w:rsidR="00232C7F">
        <w:rPr>
          <w:rFonts w:ascii="Cambria" w:hAnsi="Cambria"/>
          <w:lang w:eastAsia="x-none"/>
        </w:rPr>
        <w:t>)</w:t>
      </w:r>
      <w:r w:rsidR="001933CE">
        <w:rPr>
          <w:rFonts w:ascii="Cambria" w:hAnsi="Cambria"/>
          <w:lang w:eastAsia="x-none"/>
        </w:rPr>
        <w:t xml:space="preserve">.  </w:t>
      </w:r>
      <w:r w:rsidR="006F76DD">
        <w:rPr>
          <w:rFonts w:ascii="Cambria" w:hAnsi="Cambria"/>
          <w:lang w:eastAsia="x-none"/>
        </w:rPr>
        <w:t>IBW21 f</w:t>
      </w:r>
      <w:r w:rsidR="001933CE">
        <w:rPr>
          <w:rFonts w:ascii="Cambria" w:hAnsi="Cambria"/>
          <w:lang w:eastAsia="x-none"/>
        </w:rPr>
        <w:t>ocuse</w:t>
      </w:r>
      <w:r w:rsidR="001D7CD8">
        <w:rPr>
          <w:rFonts w:ascii="Cambria" w:hAnsi="Cambria"/>
          <w:lang w:eastAsia="x-none"/>
        </w:rPr>
        <w:t xml:space="preserve">s </w:t>
      </w:r>
      <w:r w:rsidR="006F76DD">
        <w:rPr>
          <w:rFonts w:ascii="Cambria" w:hAnsi="Cambria"/>
          <w:lang w:eastAsia="x-none"/>
        </w:rPr>
        <w:t>o</w:t>
      </w:r>
      <w:r w:rsidR="001933CE">
        <w:rPr>
          <w:rFonts w:ascii="Cambria" w:hAnsi="Cambria"/>
          <w:lang w:eastAsia="x-none"/>
        </w:rPr>
        <w:t xml:space="preserve">n </w:t>
      </w:r>
      <w:r w:rsidR="00232C7F">
        <w:rPr>
          <w:rFonts w:ascii="Cambria" w:hAnsi="Cambria"/>
          <w:lang w:eastAsia="x-none"/>
        </w:rPr>
        <w:t>issues that affect</w:t>
      </w:r>
      <w:r w:rsidR="001933CE">
        <w:rPr>
          <w:rFonts w:ascii="Cambria" w:hAnsi="Cambria"/>
          <w:lang w:eastAsia="x-none"/>
        </w:rPr>
        <w:t xml:space="preserve"> people of African descent</w:t>
      </w:r>
      <w:r w:rsidR="006F76DD">
        <w:rPr>
          <w:rFonts w:ascii="Cambria" w:hAnsi="Cambria"/>
          <w:lang w:eastAsia="x-none"/>
        </w:rPr>
        <w:t xml:space="preserve">.  </w:t>
      </w:r>
      <w:r w:rsidR="001D7CD8">
        <w:rPr>
          <w:rFonts w:ascii="Cambria" w:hAnsi="Cambria"/>
          <w:lang w:eastAsia="x-none"/>
        </w:rPr>
        <w:t xml:space="preserve">In recent years, </w:t>
      </w:r>
      <w:r w:rsidR="00232C7F">
        <w:rPr>
          <w:rFonts w:ascii="Cambria" w:hAnsi="Cambria"/>
          <w:lang w:eastAsia="x-none"/>
        </w:rPr>
        <w:t>IBW21</w:t>
      </w:r>
      <w:r w:rsidR="001D7CD8">
        <w:rPr>
          <w:rFonts w:ascii="Cambria" w:hAnsi="Cambria"/>
          <w:lang w:eastAsia="x-none"/>
        </w:rPr>
        <w:t>has prioritized ending</w:t>
      </w:r>
      <w:r w:rsidR="001933CE">
        <w:rPr>
          <w:rFonts w:ascii="Cambria" w:hAnsi="Cambria"/>
          <w:lang w:eastAsia="x-none"/>
        </w:rPr>
        <w:t xml:space="preserve"> the war on drugs </w:t>
      </w:r>
      <w:r w:rsidR="001D7CD8">
        <w:rPr>
          <w:rFonts w:ascii="Cambria" w:hAnsi="Cambria"/>
          <w:lang w:eastAsia="x-none"/>
        </w:rPr>
        <w:t xml:space="preserve">as one if its core </w:t>
      </w:r>
      <w:r w:rsidR="001933CE">
        <w:rPr>
          <w:rFonts w:ascii="Cambria" w:hAnsi="Cambria"/>
          <w:lang w:eastAsia="x-none"/>
        </w:rPr>
        <w:t>civil rights and racial justice issue</w:t>
      </w:r>
      <w:r w:rsidR="001D7CD8">
        <w:rPr>
          <w:rFonts w:ascii="Cambria" w:hAnsi="Cambria"/>
          <w:lang w:eastAsia="x-none"/>
        </w:rPr>
        <w:t xml:space="preserve">s. Following the </w:t>
      </w:r>
      <w:r>
        <w:rPr>
          <w:rFonts w:ascii="Cambria" w:hAnsi="Cambria"/>
          <w:lang w:eastAsia="x-none"/>
        </w:rPr>
        <w:t xml:space="preserve">reductions to </w:t>
      </w:r>
      <w:r w:rsidR="001D7CD8">
        <w:rPr>
          <w:rFonts w:ascii="Cambria" w:hAnsi="Cambria"/>
          <w:lang w:eastAsia="x-none"/>
        </w:rPr>
        <w:t>CNDP’s</w:t>
      </w:r>
      <w:r>
        <w:rPr>
          <w:rFonts w:ascii="Cambria" w:hAnsi="Cambria"/>
          <w:lang w:eastAsia="x-none"/>
        </w:rPr>
        <w:t xml:space="preserve"> grantmaking capacity and </w:t>
      </w:r>
      <w:r w:rsidR="001D7CD8">
        <w:rPr>
          <w:rFonts w:ascii="Cambria" w:hAnsi="Cambria"/>
          <w:lang w:eastAsia="x-none"/>
        </w:rPr>
        <w:t>the</w:t>
      </w:r>
      <w:r>
        <w:rPr>
          <w:rFonts w:ascii="Cambria" w:hAnsi="Cambria"/>
          <w:lang w:eastAsia="x-none"/>
        </w:rPr>
        <w:t xml:space="preserve"> resulting narrowing of our definition of Objective 1, we </w:t>
      </w:r>
      <w:r w:rsidR="001D7CD8">
        <w:rPr>
          <w:rFonts w:ascii="Cambria" w:hAnsi="Cambria"/>
          <w:lang w:eastAsia="x-none"/>
        </w:rPr>
        <w:t xml:space="preserve">reconsidered our understanding of the </w:t>
      </w:r>
      <w:r>
        <w:rPr>
          <w:rFonts w:ascii="Cambria" w:hAnsi="Cambria"/>
          <w:lang w:eastAsia="x-none"/>
        </w:rPr>
        <w:t>si</w:t>
      </w:r>
      <w:r w:rsidR="001D7CD8">
        <w:rPr>
          <w:rFonts w:ascii="Cambria" w:hAnsi="Cambria"/>
          <w:lang w:eastAsia="x-none"/>
        </w:rPr>
        <w:t>gnificance of IBW21.  F</w:t>
      </w:r>
      <w:r w:rsidR="00FC4AE9">
        <w:rPr>
          <w:rFonts w:ascii="Cambria" w:hAnsi="Cambria"/>
          <w:lang w:eastAsia="x-none"/>
        </w:rPr>
        <w:t>rom both a strategic and Open Society values point of view</w:t>
      </w:r>
      <w:r w:rsidR="001D7CD8">
        <w:rPr>
          <w:rFonts w:ascii="Cambria" w:hAnsi="Cambria"/>
          <w:lang w:eastAsia="x-none"/>
        </w:rPr>
        <w:t xml:space="preserve">, it is </w:t>
      </w:r>
      <w:r w:rsidR="001B1D9A">
        <w:rPr>
          <w:rFonts w:ascii="Cambria" w:hAnsi="Cambria"/>
          <w:lang w:eastAsia="x-none"/>
        </w:rPr>
        <w:t>important</w:t>
      </w:r>
      <w:r w:rsidR="001D7CD8">
        <w:rPr>
          <w:rFonts w:ascii="Cambria" w:hAnsi="Cambria"/>
          <w:lang w:eastAsia="x-none"/>
        </w:rPr>
        <w:t xml:space="preserve"> to support the involvement </w:t>
      </w:r>
      <w:r w:rsidR="00CB620E">
        <w:rPr>
          <w:rFonts w:ascii="Cambria" w:hAnsi="Cambria"/>
          <w:lang w:eastAsia="x-none"/>
        </w:rPr>
        <w:t xml:space="preserve">in drug policy reform </w:t>
      </w:r>
      <w:r w:rsidR="001D7CD8">
        <w:rPr>
          <w:rFonts w:ascii="Cambria" w:hAnsi="Cambria"/>
          <w:lang w:eastAsia="x-none"/>
        </w:rPr>
        <w:t>of the</w:t>
      </w:r>
      <w:r w:rsidR="00CB620E">
        <w:rPr>
          <w:rFonts w:ascii="Cambria" w:hAnsi="Cambria"/>
          <w:lang w:eastAsia="x-none"/>
        </w:rPr>
        <w:t xml:space="preserve"> communities most impacted by current policy.</w:t>
      </w:r>
      <w:r w:rsidR="001D7CD8">
        <w:rPr>
          <w:rFonts w:ascii="Cambria" w:hAnsi="Cambria"/>
          <w:lang w:eastAsia="x-none"/>
        </w:rPr>
        <w:t xml:space="preserve"> But, rather than </w:t>
      </w:r>
      <w:r w:rsidR="00232C7F">
        <w:rPr>
          <w:rFonts w:ascii="Cambria" w:hAnsi="Cambria"/>
          <w:lang w:eastAsia="x-none"/>
        </w:rPr>
        <w:t>relying on the diversification of</w:t>
      </w:r>
      <w:r w:rsidR="006B4BA1">
        <w:rPr>
          <w:rFonts w:ascii="Cambria" w:hAnsi="Cambria"/>
          <w:lang w:eastAsia="x-none"/>
        </w:rPr>
        <w:t xml:space="preserve"> </w:t>
      </w:r>
      <w:r w:rsidR="001B1D9A">
        <w:rPr>
          <w:rFonts w:ascii="Cambria" w:hAnsi="Cambria"/>
          <w:lang w:eastAsia="x-none"/>
        </w:rPr>
        <w:t xml:space="preserve">one </w:t>
      </w:r>
      <w:r w:rsidR="00232C7F">
        <w:rPr>
          <w:rFonts w:ascii="Cambria" w:hAnsi="Cambria"/>
          <w:lang w:eastAsia="x-none"/>
        </w:rPr>
        <w:t xml:space="preserve">area of our </w:t>
      </w:r>
      <w:r w:rsidR="00F47F8C">
        <w:rPr>
          <w:rFonts w:ascii="Cambria" w:hAnsi="Cambria"/>
          <w:lang w:eastAsia="x-none"/>
        </w:rPr>
        <w:t>grantmaking</w:t>
      </w:r>
      <w:r w:rsidR="001D7CD8">
        <w:rPr>
          <w:rFonts w:ascii="Cambria" w:hAnsi="Cambria"/>
          <w:lang w:eastAsia="x-none"/>
        </w:rPr>
        <w:t xml:space="preserve">, we </w:t>
      </w:r>
      <w:r w:rsidR="00232C7F">
        <w:rPr>
          <w:rFonts w:ascii="Cambria" w:hAnsi="Cambria"/>
          <w:lang w:eastAsia="x-none"/>
        </w:rPr>
        <w:t xml:space="preserve">agree </w:t>
      </w:r>
      <w:r w:rsidR="009C2C9A">
        <w:rPr>
          <w:rFonts w:ascii="Cambria" w:hAnsi="Cambria"/>
          <w:lang w:eastAsia="x-none"/>
        </w:rPr>
        <w:t xml:space="preserve">that </w:t>
      </w:r>
      <w:r w:rsidR="00232C7F">
        <w:rPr>
          <w:rFonts w:ascii="Cambria" w:hAnsi="Cambria"/>
          <w:lang w:eastAsia="x-none"/>
        </w:rPr>
        <w:t>th</w:t>
      </w:r>
      <w:r w:rsidR="009C2C9A">
        <w:rPr>
          <w:rFonts w:ascii="Cambria" w:hAnsi="Cambria"/>
          <w:lang w:eastAsia="x-none"/>
        </w:rPr>
        <w:t>is</w:t>
      </w:r>
      <w:r w:rsidR="00232C7F">
        <w:rPr>
          <w:rFonts w:ascii="Cambria" w:hAnsi="Cambria"/>
          <w:lang w:eastAsia="x-none"/>
        </w:rPr>
        <w:t xml:space="preserve"> needs</w:t>
      </w:r>
      <w:r w:rsidR="001D7CD8">
        <w:rPr>
          <w:rFonts w:ascii="Cambria" w:hAnsi="Cambria"/>
          <w:lang w:eastAsia="x-none"/>
        </w:rPr>
        <w:t xml:space="preserve"> to be a </w:t>
      </w:r>
      <w:r w:rsidR="001B1D9A">
        <w:rPr>
          <w:rFonts w:ascii="Cambria" w:hAnsi="Cambria"/>
          <w:lang w:eastAsia="x-none"/>
        </w:rPr>
        <w:t>priority</w:t>
      </w:r>
      <w:r w:rsidR="001D7CD8">
        <w:rPr>
          <w:rFonts w:ascii="Cambria" w:hAnsi="Cambria"/>
          <w:lang w:eastAsia="x-none"/>
        </w:rPr>
        <w:t xml:space="preserve"> across the CNDP portfolio as a whole</w:t>
      </w:r>
      <w:r w:rsidR="006B4BA1">
        <w:rPr>
          <w:rFonts w:ascii="Cambria" w:hAnsi="Cambria"/>
          <w:lang w:eastAsia="x-none"/>
        </w:rPr>
        <w:t xml:space="preserve"> – with the substantive nature and quality of group</w:t>
      </w:r>
      <w:r w:rsidR="00CB620E">
        <w:rPr>
          <w:rFonts w:ascii="Cambria" w:hAnsi="Cambria"/>
          <w:lang w:eastAsia="x-none"/>
        </w:rPr>
        <w:t>’</w:t>
      </w:r>
      <w:r w:rsidR="006B4BA1">
        <w:rPr>
          <w:rFonts w:ascii="Cambria" w:hAnsi="Cambria"/>
          <w:lang w:eastAsia="x-none"/>
        </w:rPr>
        <w:t xml:space="preserve">s work determining which among these groups we are able to fund. Given that the bulk of its work involves community specific </w:t>
      </w:r>
      <w:r w:rsidR="00CB620E">
        <w:rPr>
          <w:rFonts w:ascii="Cambria" w:hAnsi="Cambria"/>
          <w:lang w:eastAsia="x-none"/>
        </w:rPr>
        <w:t xml:space="preserve">efforts </w:t>
      </w:r>
      <w:r w:rsidR="006B4BA1">
        <w:rPr>
          <w:rFonts w:ascii="Cambria" w:hAnsi="Cambria"/>
          <w:lang w:eastAsia="x-none"/>
        </w:rPr>
        <w:t xml:space="preserve">in Pittsburgh, the District of Columbia, and </w:t>
      </w:r>
      <w:r w:rsidR="001B1D9A">
        <w:rPr>
          <w:rFonts w:ascii="Cambria" w:hAnsi="Cambria"/>
          <w:lang w:eastAsia="x-none"/>
        </w:rPr>
        <w:t>Baltimore</w:t>
      </w:r>
      <w:r w:rsidR="00CB620E">
        <w:rPr>
          <w:rFonts w:ascii="Cambria" w:hAnsi="Cambria"/>
          <w:lang w:eastAsia="x-none"/>
        </w:rPr>
        <w:t>, IBW21</w:t>
      </w:r>
      <w:r w:rsidR="009C2C9A">
        <w:rPr>
          <w:rFonts w:ascii="Cambria" w:hAnsi="Cambria"/>
          <w:lang w:eastAsia="x-none"/>
        </w:rPr>
        <w:t xml:space="preserve"> was a natural </w:t>
      </w:r>
      <w:r w:rsidR="00CB620E">
        <w:rPr>
          <w:rFonts w:ascii="Cambria" w:hAnsi="Cambria"/>
          <w:lang w:eastAsia="x-none"/>
        </w:rPr>
        <w:t xml:space="preserve">fit </w:t>
      </w:r>
      <w:r w:rsidR="009C2C9A">
        <w:rPr>
          <w:rFonts w:ascii="Cambria" w:hAnsi="Cambria"/>
          <w:lang w:eastAsia="x-none"/>
        </w:rPr>
        <w:t>for funding to advance its drug policy reform goals in these municipalities.</w:t>
      </w:r>
      <w:r w:rsidR="006B4BA1">
        <w:rPr>
          <w:rFonts w:ascii="Cambria" w:hAnsi="Cambria"/>
          <w:lang w:eastAsia="x-none"/>
        </w:rPr>
        <w:t xml:space="preserve"> </w:t>
      </w:r>
    </w:p>
    <w:p w14:paraId="2F581AAC" w14:textId="77777777" w:rsidR="008C3DB9" w:rsidRDefault="008C3DB9" w:rsidP="00125AE7">
      <w:pPr>
        <w:rPr>
          <w:rFonts w:ascii="Cambria" w:hAnsi="Cambria"/>
          <w:lang w:eastAsia="x-none"/>
        </w:rPr>
      </w:pPr>
    </w:p>
    <w:p w14:paraId="02773CE2" w14:textId="701857DF" w:rsidR="00D875D4" w:rsidRDefault="003B3198" w:rsidP="00125AE7">
      <w:pPr>
        <w:rPr>
          <w:rFonts w:ascii="Cambria" w:hAnsi="Cambria"/>
          <w:lang w:eastAsia="x-none"/>
        </w:rPr>
      </w:pPr>
      <w:r>
        <w:rPr>
          <w:rFonts w:ascii="Cambria" w:hAnsi="Cambria"/>
          <w:lang w:eastAsia="x-none"/>
        </w:rPr>
        <w:t xml:space="preserve">A number of </w:t>
      </w:r>
      <w:r w:rsidR="00A50CFF">
        <w:rPr>
          <w:rFonts w:ascii="Cambria" w:hAnsi="Cambria"/>
          <w:lang w:eastAsia="x-none"/>
        </w:rPr>
        <w:t>grant</w:t>
      </w:r>
      <w:r>
        <w:rPr>
          <w:rFonts w:ascii="Cambria" w:hAnsi="Cambria"/>
          <w:lang w:eastAsia="x-none"/>
        </w:rPr>
        <w:t xml:space="preserve">s in this category </w:t>
      </w:r>
      <w:r w:rsidR="000618EF">
        <w:rPr>
          <w:rFonts w:ascii="Cambria" w:hAnsi="Cambria"/>
          <w:lang w:eastAsia="x-none"/>
        </w:rPr>
        <w:t xml:space="preserve">simply failed and for that reason </w:t>
      </w:r>
      <w:r>
        <w:rPr>
          <w:rFonts w:ascii="Cambria" w:hAnsi="Cambria"/>
          <w:lang w:eastAsia="x-none"/>
        </w:rPr>
        <w:t>were tied off</w:t>
      </w:r>
      <w:r w:rsidR="000618EF">
        <w:rPr>
          <w:rFonts w:ascii="Cambria" w:hAnsi="Cambria"/>
          <w:lang w:eastAsia="x-none"/>
        </w:rPr>
        <w:t xml:space="preserve">. </w:t>
      </w:r>
      <w:r>
        <w:rPr>
          <w:rFonts w:ascii="Cambria" w:hAnsi="Cambria"/>
          <w:lang w:eastAsia="x-none"/>
        </w:rPr>
        <w:t xml:space="preserve">  </w:t>
      </w:r>
      <w:r w:rsidR="000618EF">
        <w:rPr>
          <w:rFonts w:ascii="Cambria" w:hAnsi="Cambria"/>
          <w:lang w:eastAsia="x-none"/>
        </w:rPr>
        <w:t xml:space="preserve">Funding to </w:t>
      </w:r>
      <w:r>
        <w:rPr>
          <w:rFonts w:ascii="Cambria" w:hAnsi="Cambria"/>
          <w:lang w:eastAsia="x-none"/>
        </w:rPr>
        <w:t xml:space="preserve"> </w:t>
      </w:r>
      <w:r w:rsidR="00A50CFF">
        <w:rPr>
          <w:rFonts w:ascii="Cambria" w:hAnsi="Cambria"/>
          <w:lang w:eastAsia="x-none"/>
        </w:rPr>
        <w:t>Mothers Against Teen Violence</w:t>
      </w:r>
      <w:r>
        <w:rPr>
          <w:rFonts w:ascii="Cambria" w:hAnsi="Cambria"/>
          <w:lang w:eastAsia="x-none"/>
        </w:rPr>
        <w:t xml:space="preserve"> (MATV)</w:t>
      </w:r>
      <w:r w:rsidR="00A50CFF">
        <w:rPr>
          <w:rFonts w:ascii="Cambria" w:hAnsi="Cambria"/>
          <w:lang w:eastAsia="x-none"/>
        </w:rPr>
        <w:t xml:space="preserve"> </w:t>
      </w:r>
      <w:r>
        <w:rPr>
          <w:rFonts w:ascii="Cambria" w:hAnsi="Cambria"/>
          <w:lang w:eastAsia="x-none"/>
        </w:rPr>
        <w:t xml:space="preserve"> was initially provided to elevate a potentially important and compelling African American voice for drug policy reform from a </w:t>
      </w:r>
      <w:r w:rsidR="000661EB">
        <w:rPr>
          <w:rFonts w:ascii="Cambria" w:hAnsi="Cambria"/>
          <w:lang w:eastAsia="x-none"/>
        </w:rPr>
        <w:t>parent’s</w:t>
      </w:r>
      <w:r>
        <w:rPr>
          <w:rFonts w:ascii="Cambria" w:hAnsi="Cambria"/>
          <w:lang w:eastAsia="x-none"/>
        </w:rPr>
        <w:t xml:space="preserve"> point of view. Following two grant cycles, it became clear that MATV was not able to move beyond its limited and isolated work in Dallas, Texas.  In the case of Break the Chains, </w:t>
      </w:r>
      <w:r w:rsidR="00B51442">
        <w:rPr>
          <w:rFonts w:ascii="Cambria" w:hAnsi="Cambria"/>
          <w:lang w:eastAsia="x-none"/>
        </w:rPr>
        <w:t>its</w:t>
      </w:r>
      <w:r>
        <w:rPr>
          <w:rFonts w:ascii="Cambria" w:hAnsi="Cambria"/>
          <w:lang w:eastAsia="x-none"/>
        </w:rPr>
        <w:t xml:space="preserve"> Executive Director is a long-time and deeply respected drug policy reform advocate and former Public Policy Director of the Drug Policy Alliance.  But, for all her brilliance and </w:t>
      </w:r>
      <w:r w:rsidR="00250B92">
        <w:rPr>
          <w:rFonts w:ascii="Cambria" w:hAnsi="Cambria"/>
          <w:lang w:eastAsia="x-none"/>
        </w:rPr>
        <w:t>insight into drug policy advocacy from a racial justice perspective, it became clear that the grantee had neither the organizational capacity nor follow-through to justify renewed support.  The failure of these and certain other grants is particularly distressing because participation of African American leadership in drug policy reform is currently limited to L</w:t>
      </w:r>
      <w:r w:rsidR="00B51442">
        <w:rPr>
          <w:rFonts w:ascii="Cambria" w:hAnsi="Cambria"/>
          <w:lang w:eastAsia="x-none"/>
        </w:rPr>
        <w:t>EAP</w:t>
      </w:r>
      <w:r w:rsidR="00250B92">
        <w:rPr>
          <w:rFonts w:ascii="Cambria" w:hAnsi="Cambria"/>
          <w:lang w:eastAsia="x-none"/>
        </w:rPr>
        <w:t xml:space="preserve">’s Executive Director and </w:t>
      </w:r>
      <w:r w:rsidR="001933CE">
        <w:rPr>
          <w:rFonts w:ascii="Cambria" w:hAnsi="Cambria"/>
          <w:lang w:eastAsia="x-none"/>
        </w:rPr>
        <w:t>IBW21</w:t>
      </w:r>
      <w:r w:rsidR="00250B92">
        <w:rPr>
          <w:rFonts w:ascii="Cambria" w:hAnsi="Cambria"/>
          <w:lang w:eastAsia="x-none"/>
        </w:rPr>
        <w:t>.</w:t>
      </w:r>
      <w:bookmarkStart w:id="2" w:name="_Toc328674638"/>
    </w:p>
    <w:p w14:paraId="33674AEC" w14:textId="77777777" w:rsidR="00250B92" w:rsidRDefault="00250B92" w:rsidP="00125AE7">
      <w:pPr>
        <w:rPr>
          <w:rFonts w:ascii="Cambria" w:hAnsi="Cambria"/>
          <w:lang w:eastAsia="x-none"/>
        </w:rPr>
      </w:pPr>
    </w:p>
    <w:p w14:paraId="1CB208A5" w14:textId="175B300C" w:rsidR="00250B92" w:rsidRDefault="00250B92" w:rsidP="00125AE7">
      <w:pPr>
        <w:rPr>
          <w:rFonts w:ascii="Cambria" w:hAnsi="Cambria"/>
          <w:lang w:eastAsia="x-none"/>
        </w:rPr>
      </w:pPr>
      <w:r>
        <w:rPr>
          <w:rFonts w:ascii="Cambria" w:hAnsi="Cambria"/>
          <w:lang w:eastAsia="x-none"/>
        </w:rPr>
        <w:t>A last comment on this category of field support by CNDP involves our decision not to support marijuana law reform</w:t>
      </w:r>
      <w:r w:rsidR="00E6328A" w:rsidRPr="00E6328A">
        <w:rPr>
          <w:rFonts w:ascii="Cambria" w:hAnsi="Cambria"/>
          <w:lang w:eastAsia="x-none"/>
        </w:rPr>
        <w:t xml:space="preserve"> </w:t>
      </w:r>
      <w:r w:rsidR="00E6328A">
        <w:rPr>
          <w:rFonts w:ascii="Cambria" w:hAnsi="Cambria"/>
          <w:lang w:eastAsia="x-none"/>
        </w:rPr>
        <w:t>directly</w:t>
      </w:r>
      <w:r>
        <w:rPr>
          <w:rFonts w:ascii="Cambria" w:hAnsi="Cambria"/>
          <w:lang w:eastAsia="x-none"/>
        </w:rPr>
        <w:t>.  This decision, made at the outset</w:t>
      </w:r>
      <w:r w:rsidR="00E6328A">
        <w:rPr>
          <w:rFonts w:ascii="Cambria" w:hAnsi="Cambria"/>
          <w:lang w:eastAsia="x-none"/>
        </w:rPr>
        <w:t xml:space="preserve"> of the campaign</w:t>
      </w:r>
      <w:r>
        <w:rPr>
          <w:rFonts w:ascii="Cambria" w:hAnsi="Cambria"/>
          <w:lang w:eastAsia="x-none"/>
        </w:rPr>
        <w:t xml:space="preserve">, </w:t>
      </w:r>
      <w:r w:rsidR="00E6328A">
        <w:rPr>
          <w:rFonts w:ascii="Cambria" w:hAnsi="Cambria"/>
          <w:lang w:eastAsia="x-none"/>
        </w:rPr>
        <w:t>wa</w:t>
      </w:r>
      <w:r>
        <w:rPr>
          <w:rFonts w:ascii="Cambria" w:hAnsi="Cambria"/>
          <w:lang w:eastAsia="x-none"/>
        </w:rPr>
        <w:t xml:space="preserve">s not based on our sense of the </w:t>
      </w:r>
      <w:r w:rsidR="00E6328A">
        <w:rPr>
          <w:rFonts w:ascii="Cambria" w:hAnsi="Cambria"/>
          <w:lang w:eastAsia="x-none"/>
        </w:rPr>
        <w:t xml:space="preserve">relative </w:t>
      </w:r>
      <w:r>
        <w:rPr>
          <w:rFonts w:ascii="Cambria" w:hAnsi="Cambria"/>
          <w:lang w:eastAsia="x-none"/>
        </w:rPr>
        <w:t xml:space="preserve">importance of marijuana related advocacy: in our view, this area of work is critically important to overall drug policy reform.  Our decision not </w:t>
      </w:r>
      <w:r w:rsidR="001B2435">
        <w:rPr>
          <w:rFonts w:ascii="Cambria" w:hAnsi="Cambria"/>
          <w:lang w:eastAsia="x-none"/>
        </w:rPr>
        <w:t xml:space="preserve">to </w:t>
      </w:r>
      <w:r>
        <w:rPr>
          <w:rFonts w:ascii="Cambria" w:hAnsi="Cambria"/>
          <w:lang w:eastAsia="x-none"/>
        </w:rPr>
        <w:t xml:space="preserve">engage directly in funding marijuana reform was based on </w:t>
      </w:r>
      <w:r w:rsidR="00434DD3">
        <w:rPr>
          <w:rFonts w:ascii="Cambria" w:hAnsi="Cambria"/>
          <w:lang w:eastAsia="x-none"/>
        </w:rPr>
        <w:t xml:space="preserve">(a) </w:t>
      </w:r>
      <w:r>
        <w:rPr>
          <w:rFonts w:ascii="Cambria" w:hAnsi="Cambria"/>
          <w:lang w:eastAsia="x-none"/>
        </w:rPr>
        <w:t>the observation</w:t>
      </w:r>
      <w:r w:rsidR="00E6328A">
        <w:rPr>
          <w:rFonts w:ascii="Cambria" w:hAnsi="Cambria"/>
          <w:lang w:eastAsia="x-none"/>
        </w:rPr>
        <w:t xml:space="preserve"> </w:t>
      </w:r>
      <w:r>
        <w:rPr>
          <w:rFonts w:ascii="Cambria" w:hAnsi="Cambria"/>
          <w:lang w:eastAsia="x-none"/>
        </w:rPr>
        <w:t>that there are a number of significant national and local funders supporting this work</w:t>
      </w:r>
      <w:r w:rsidR="00E6328A">
        <w:rPr>
          <w:rFonts w:ascii="Cambria" w:hAnsi="Cambria"/>
          <w:lang w:eastAsia="x-none"/>
        </w:rPr>
        <w:t xml:space="preserve"> (although this is less true with the death of Peter Lewis)</w:t>
      </w:r>
      <w:r>
        <w:rPr>
          <w:rFonts w:ascii="Cambria" w:hAnsi="Cambria"/>
          <w:lang w:eastAsia="x-none"/>
        </w:rPr>
        <w:t>, (b)</w:t>
      </w:r>
      <w:r w:rsidR="00E6328A">
        <w:rPr>
          <w:rFonts w:ascii="Cambria" w:hAnsi="Cambria"/>
          <w:lang w:eastAsia="x-none"/>
        </w:rPr>
        <w:t> </w:t>
      </w:r>
      <w:r w:rsidR="00434DD3">
        <w:rPr>
          <w:rFonts w:ascii="Cambria" w:hAnsi="Cambria"/>
          <w:lang w:eastAsia="x-none"/>
        </w:rPr>
        <w:t xml:space="preserve">the reality that </w:t>
      </w:r>
      <w:r>
        <w:rPr>
          <w:rFonts w:ascii="Cambria" w:hAnsi="Cambria"/>
          <w:lang w:eastAsia="x-none"/>
        </w:rPr>
        <w:t xml:space="preserve">OSF is already supporting this work indirectly through the </w:t>
      </w:r>
      <w:r w:rsidR="00434DD3">
        <w:rPr>
          <w:rFonts w:ascii="Cambria" w:hAnsi="Cambria"/>
          <w:lang w:eastAsia="x-none"/>
        </w:rPr>
        <w:t>substantial involvement in marijuana policy reform of</w:t>
      </w:r>
      <w:r>
        <w:rPr>
          <w:rFonts w:ascii="Cambria" w:hAnsi="Cambria"/>
          <w:lang w:eastAsia="x-none"/>
        </w:rPr>
        <w:t xml:space="preserve"> DPA, </w:t>
      </w:r>
      <w:r w:rsidR="00B51442">
        <w:rPr>
          <w:rFonts w:ascii="Cambria" w:hAnsi="Cambria"/>
          <w:lang w:eastAsia="x-none"/>
        </w:rPr>
        <w:t xml:space="preserve">LEAP, SSDP and other grantees, and (c) </w:t>
      </w:r>
      <w:r w:rsidR="00434DD3">
        <w:rPr>
          <w:rFonts w:ascii="Cambria" w:hAnsi="Cambria"/>
          <w:lang w:eastAsia="x-none"/>
        </w:rPr>
        <w:t>our sense</w:t>
      </w:r>
      <w:r w:rsidR="00B51442">
        <w:rPr>
          <w:rFonts w:ascii="Cambria" w:hAnsi="Cambria"/>
          <w:lang w:eastAsia="x-none"/>
        </w:rPr>
        <w:t xml:space="preserve"> that CND</w:t>
      </w:r>
      <w:r w:rsidR="00E96DA9">
        <w:rPr>
          <w:rFonts w:ascii="Cambria" w:hAnsi="Cambria"/>
          <w:lang w:eastAsia="x-none"/>
        </w:rPr>
        <w:t>P</w:t>
      </w:r>
      <w:r w:rsidR="00B51442">
        <w:rPr>
          <w:rFonts w:ascii="Cambria" w:hAnsi="Cambria"/>
          <w:lang w:eastAsia="x-none"/>
        </w:rPr>
        <w:t xml:space="preserve">’s finite resources were better used to capitalize on the opportunities raised by health care reform and the development of community-level alternatives to punitive drug </w:t>
      </w:r>
      <w:r w:rsidR="00E96DA9">
        <w:rPr>
          <w:rFonts w:ascii="Cambria" w:hAnsi="Cambria"/>
          <w:lang w:eastAsia="x-none"/>
        </w:rPr>
        <w:t>policies</w:t>
      </w:r>
      <w:r w:rsidR="00B51442">
        <w:rPr>
          <w:rFonts w:ascii="Cambria" w:hAnsi="Cambria"/>
          <w:lang w:eastAsia="x-none"/>
        </w:rPr>
        <w:t>.</w:t>
      </w:r>
      <w:r w:rsidR="00434DD3">
        <w:rPr>
          <w:rFonts w:ascii="Cambria" w:hAnsi="Cambria"/>
          <w:lang w:eastAsia="x-none"/>
        </w:rPr>
        <w:t xml:space="preserve"> The outcome of marijuana policy reform efforts this year and 2016 will indicate whether our reasoning was sound. </w:t>
      </w:r>
    </w:p>
    <w:p w14:paraId="7502624D" w14:textId="77777777" w:rsidR="00250B92" w:rsidRPr="00125AE7" w:rsidRDefault="00250B92" w:rsidP="00125AE7">
      <w:pPr>
        <w:rPr>
          <w:rFonts w:ascii="Cambria" w:hAnsi="Cambria"/>
          <w:lang w:eastAsia="x-none"/>
        </w:rPr>
      </w:pPr>
    </w:p>
    <w:p w14:paraId="7782254C" w14:textId="77777777" w:rsidR="00D03B36" w:rsidRPr="00125AE7" w:rsidRDefault="0086024E" w:rsidP="00406633">
      <w:pPr>
        <w:keepNext/>
        <w:keepLines/>
        <w:ind w:left="1350" w:hanging="990"/>
        <w:outlineLvl w:val="1"/>
        <w:rPr>
          <w:rFonts w:ascii="Cambria" w:hAnsi="Cambria"/>
          <w:bCs/>
        </w:rPr>
      </w:pPr>
      <w:r w:rsidRPr="00125AE7">
        <w:rPr>
          <w:rFonts w:ascii="Cambria" w:eastAsia="Calibri" w:hAnsi="Cambria"/>
          <w:b/>
          <w:bCs/>
          <w:u w:val="single"/>
        </w:rPr>
        <w:t>Objective 2</w:t>
      </w:r>
      <w:r w:rsidRPr="00125AE7">
        <w:rPr>
          <w:rFonts w:ascii="Cambria" w:eastAsia="Calibri" w:hAnsi="Cambria"/>
          <w:b/>
          <w:bCs/>
        </w:rPr>
        <w:t xml:space="preserve">:  </w:t>
      </w:r>
      <w:r w:rsidR="00380159" w:rsidRPr="00125AE7">
        <w:rPr>
          <w:rFonts w:ascii="Cambria" w:eastAsia="Calibri" w:hAnsi="Cambria"/>
          <w:b/>
          <w:bCs/>
        </w:rPr>
        <w:t xml:space="preserve"> </w:t>
      </w:r>
      <w:r w:rsidRPr="00125AE7">
        <w:rPr>
          <w:rFonts w:ascii="Cambria" w:hAnsi="Cambria"/>
          <w:b/>
          <w:bCs/>
        </w:rPr>
        <w:t>Establish access to comprehensive health care for all drug users, including treatment</w:t>
      </w:r>
      <w:r w:rsidR="00380159" w:rsidRPr="00125AE7">
        <w:rPr>
          <w:rFonts w:ascii="Cambria" w:hAnsi="Cambria"/>
          <w:b/>
          <w:bCs/>
        </w:rPr>
        <w:t xml:space="preserve"> </w:t>
      </w:r>
      <w:r w:rsidRPr="00125AE7">
        <w:rPr>
          <w:rFonts w:ascii="Cambria" w:hAnsi="Cambria"/>
          <w:b/>
          <w:bCs/>
        </w:rPr>
        <w:t>and harm reduction services, as an alternative to punitive, coercive and “zero tolerance” policies</w:t>
      </w:r>
      <w:bookmarkEnd w:id="2"/>
      <w:r w:rsidR="00085E63" w:rsidRPr="00125AE7">
        <w:rPr>
          <w:rFonts w:ascii="Cambria" w:hAnsi="Cambria"/>
          <w:b/>
          <w:bCs/>
        </w:rPr>
        <w:t xml:space="preserve"> </w:t>
      </w:r>
    </w:p>
    <w:p w14:paraId="56DDC23A" w14:textId="77777777" w:rsidR="00D03B36" w:rsidRPr="00125AE7" w:rsidRDefault="00D03B36" w:rsidP="00406633">
      <w:pPr>
        <w:keepNext/>
        <w:keepLines/>
        <w:ind w:left="1350" w:hanging="1350"/>
        <w:outlineLvl w:val="1"/>
        <w:rPr>
          <w:rFonts w:ascii="Cambria" w:hAnsi="Cambria"/>
        </w:rPr>
      </w:pPr>
    </w:p>
    <w:p w14:paraId="14712163" w14:textId="77777777" w:rsidR="00F87203" w:rsidRPr="00125AE7" w:rsidRDefault="00F87203" w:rsidP="00406633">
      <w:pPr>
        <w:pStyle w:val="Heading3"/>
        <w:spacing w:before="0"/>
        <w:ind w:left="720"/>
        <w:rPr>
          <w:b w:val="0"/>
          <w:color w:val="auto"/>
          <w:sz w:val="22"/>
          <w:szCs w:val="22"/>
          <w:lang w:val="en-US"/>
        </w:rPr>
      </w:pPr>
      <w:bookmarkStart w:id="3" w:name="OLE_LINK1"/>
      <w:r w:rsidRPr="00125AE7">
        <w:rPr>
          <w:b w:val="0"/>
          <w:color w:val="auto"/>
          <w:sz w:val="22"/>
          <w:szCs w:val="22"/>
          <w:lang w:val="en-US"/>
        </w:rPr>
        <w:t>2012 grantmaking budget: $</w:t>
      </w:r>
      <w:r w:rsidR="00AA6081">
        <w:rPr>
          <w:b w:val="0"/>
          <w:color w:val="auto"/>
          <w:sz w:val="22"/>
          <w:szCs w:val="22"/>
          <w:lang w:val="en-US"/>
        </w:rPr>
        <w:t>1,850</w:t>
      </w:r>
      <w:r w:rsidRPr="00125AE7">
        <w:rPr>
          <w:b w:val="0"/>
          <w:color w:val="auto"/>
          <w:sz w:val="22"/>
          <w:szCs w:val="22"/>
          <w:lang w:val="en-US"/>
        </w:rPr>
        <w:t>,000</w:t>
      </w:r>
    </w:p>
    <w:p w14:paraId="531A7F2C" w14:textId="77777777" w:rsidR="00F87203" w:rsidRPr="00125AE7" w:rsidRDefault="00F87203" w:rsidP="00406633">
      <w:pPr>
        <w:pStyle w:val="Heading3"/>
        <w:spacing w:before="0"/>
        <w:ind w:left="720"/>
        <w:rPr>
          <w:b w:val="0"/>
          <w:color w:val="auto"/>
          <w:sz w:val="22"/>
          <w:szCs w:val="22"/>
          <w:lang w:val="en-US"/>
        </w:rPr>
      </w:pPr>
      <w:r w:rsidRPr="00125AE7">
        <w:rPr>
          <w:b w:val="0"/>
          <w:color w:val="auto"/>
          <w:sz w:val="22"/>
          <w:szCs w:val="22"/>
          <w:lang w:val="en-US"/>
        </w:rPr>
        <w:t>2013 grantmaking budget: $</w:t>
      </w:r>
      <w:r w:rsidR="00EA3911">
        <w:rPr>
          <w:b w:val="0"/>
          <w:color w:val="auto"/>
          <w:sz w:val="22"/>
          <w:szCs w:val="22"/>
          <w:lang w:val="en-US"/>
        </w:rPr>
        <w:t>1,280</w:t>
      </w:r>
      <w:r w:rsidRPr="00125AE7">
        <w:rPr>
          <w:b w:val="0"/>
          <w:color w:val="auto"/>
          <w:sz w:val="22"/>
          <w:szCs w:val="22"/>
          <w:lang w:val="en-US"/>
        </w:rPr>
        <w:t>,00</w:t>
      </w:r>
      <w:r w:rsidR="00EA3911">
        <w:rPr>
          <w:b w:val="0"/>
          <w:color w:val="auto"/>
          <w:sz w:val="22"/>
          <w:szCs w:val="22"/>
          <w:lang w:val="en-US"/>
        </w:rPr>
        <w:t>0</w:t>
      </w:r>
    </w:p>
    <w:p w14:paraId="3A8D9B45" w14:textId="77777777" w:rsidR="00B65006" w:rsidRPr="00125AE7" w:rsidRDefault="00D03B36" w:rsidP="00406633">
      <w:pPr>
        <w:keepNext/>
        <w:keepLines/>
        <w:ind w:left="720"/>
        <w:outlineLvl w:val="1"/>
        <w:rPr>
          <w:rFonts w:ascii="Cambria" w:hAnsi="Cambria"/>
          <w:bCs/>
        </w:rPr>
      </w:pPr>
      <w:r w:rsidRPr="00125AE7">
        <w:rPr>
          <w:rFonts w:ascii="Cambria" w:hAnsi="Cambria"/>
        </w:rPr>
        <w:t>2014 grantmaking budget</w:t>
      </w:r>
      <w:r w:rsidR="002237A3" w:rsidRPr="00125AE7">
        <w:rPr>
          <w:rFonts w:ascii="Cambria" w:hAnsi="Cambria"/>
        </w:rPr>
        <w:t>:</w:t>
      </w:r>
      <w:r w:rsidRPr="00125AE7">
        <w:rPr>
          <w:rFonts w:ascii="Cambria" w:hAnsi="Cambria"/>
        </w:rPr>
        <w:t xml:space="preserve"> </w:t>
      </w:r>
      <w:r w:rsidR="00085E63" w:rsidRPr="00125AE7">
        <w:rPr>
          <w:rFonts w:ascii="Cambria" w:hAnsi="Cambria"/>
          <w:bCs/>
        </w:rPr>
        <w:t>$</w:t>
      </w:r>
      <w:r w:rsidRPr="00125AE7">
        <w:rPr>
          <w:rFonts w:ascii="Cambria" w:hAnsi="Cambria"/>
          <w:bCs/>
        </w:rPr>
        <w:t>1</w:t>
      </w:r>
      <w:r w:rsidR="00EA3911">
        <w:rPr>
          <w:rFonts w:ascii="Cambria" w:hAnsi="Cambria"/>
          <w:bCs/>
        </w:rPr>
        <w:t>,300</w:t>
      </w:r>
      <w:r w:rsidR="00AA6081">
        <w:rPr>
          <w:rFonts w:ascii="Cambria" w:hAnsi="Cambria"/>
          <w:bCs/>
        </w:rPr>
        <w:t>,</w:t>
      </w:r>
      <w:r w:rsidR="00EA3911">
        <w:rPr>
          <w:rFonts w:ascii="Cambria" w:hAnsi="Cambria"/>
          <w:bCs/>
        </w:rPr>
        <w:t>000</w:t>
      </w:r>
      <w:bookmarkEnd w:id="3"/>
    </w:p>
    <w:p w14:paraId="658A6933" w14:textId="77777777" w:rsidR="00F87203" w:rsidRPr="00125AE7" w:rsidRDefault="00F87203" w:rsidP="00125AE7">
      <w:pPr>
        <w:ind w:left="720"/>
        <w:outlineLvl w:val="1"/>
        <w:rPr>
          <w:rFonts w:ascii="Cambria" w:hAnsi="Cambria"/>
          <w:bCs/>
        </w:rPr>
      </w:pPr>
    </w:p>
    <w:p w14:paraId="09F2C024" w14:textId="7909D253" w:rsidR="00B50357" w:rsidRPr="00125AE7" w:rsidRDefault="00B50357" w:rsidP="00125AE7">
      <w:pPr>
        <w:ind w:left="720"/>
        <w:outlineLvl w:val="1"/>
        <w:rPr>
          <w:rFonts w:ascii="Cambria" w:hAnsi="Cambria"/>
          <w:b/>
          <w:bCs/>
        </w:rPr>
      </w:pPr>
      <w:r w:rsidRPr="00125AE7">
        <w:rPr>
          <w:rFonts w:ascii="Cambria" w:hAnsi="Cambria"/>
          <w:bCs/>
        </w:rPr>
        <w:t xml:space="preserve">Program responsibility: </w:t>
      </w:r>
      <w:r w:rsidR="001B2435">
        <w:rPr>
          <w:rFonts w:ascii="Cambria" w:hAnsi="Cambria"/>
          <w:bCs/>
        </w:rPr>
        <w:t>Dr.</w:t>
      </w:r>
      <w:r w:rsidRPr="00125AE7">
        <w:rPr>
          <w:rFonts w:ascii="Cambria" w:hAnsi="Cambria"/>
          <w:bCs/>
        </w:rPr>
        <w:t xml:space="preserve"> Kima Taylor and Ruzana Hedges</w:t>
      </w:r>
    </w:p>
    <w:p w14:paraId="40C1ED29" w14:textId="77777777" w:rsidR="00EE451A" w:rsidRPr="00125AE7" w:rsidRDefault="00EE451A" w:rsidP="00125AE7">
      <w:pPr>
        <w:ind w:left="1350" w:hanging="1350"/>
        <w:outlineLvl w:val="1"/>
        <w:rPr>
          <w:rFonts w:ascii="Cambria" w:hAnsi="Cambria"/>
          <w:b/>
          <w:bCs/>
        </w:rPr>
      </w:pPr>
    </w:p>
    <w:p w14:paraId="6AB40DB1" w14:textId="5A23A76A" w:rsidR="00A6772E" w:rsidRDefault="00A6772E" w:rsidP="00125AE7">
      <w:pPr>
        <w:rPr>
          <w:rFonts w:ascii="Cambria" w:hAnsi="Cambria"/>
          <w:lang w:eastAsia="x-none"/>
        </w:rPr>
      </w:pPr>
      <w:r w:rsidRPr="00125AE7">
        <w:rPr>
          <w:rFonts w:ascii="Cambria" w:hAnsi="Cambria"/>
          <w:lang w:eastAsia="x-none"/>
        </w:rPr>
        <w:t xml:space="preserve">Advocates have argued persuasively for at least two decades for drug policies that prioritize health and social supports as a better alternative to punitive approaches.  But, in the absence of an adequate health care system that includes drug users </w:t>
      </w:r>
      <w:r w:rsidR="00DE0560" w:rsidRPr="00125AE7">
        <w:rPr>
          <w:rFonts w:ascii="Cambria" w:hAnsi="Cambria"/>
          <w:lang w:eastAsia="x-none"/>
        </w:rPr>
        <w:t xml:space="preserve">and includes a full range of accessible substance use disorder </w:t>
      </w:r>
      <w:r w:rsidR="00A44A80">
        <w:rPr>
          <w:rFonts w:ascii="Cambria" w:hAnsi="Cambria"/>
          <w:lang w:eastAsia="x-none"/>
        </w:rPr>
        <w:t xml:space="preserve">(SUD) </w:t>
      </w:r>
      <w:r w:rsidR="00DE0560" w:rsidRPr="00125AE7">
        <w:rPr>
          <w:rFonts w:ascii="Cambria" w:hAnsi="Cambria"/>
          <w:lang w:eastAsia="x-none"/>
        </w:rPr>
        <w:t xml:space="preserve">services, </w:t>
      </w:r>
      <w:r w:rsidRPr="00125AE7">
        <w:rPr>
          <w:rFonts w:ascii="Cambria" w:hAnsi="Cambria"/>
          <w:lang w:eastAsia="x-none"/>
        </w:rPr>
        <w:t xml:space="preserve">this discussion has been hypothetical.  </w:t>
      </w:r>
      <w:r w:rsidR="00DE0560" w:rsidRPr="00125AE7">
        <w:rPr>
          <w:rFonts w:ascii="Cambria" w:hAnsi="Cambria"/>
          <w:lang w:eastAsia="x-none"/>
        </w:rPr>
        <w:t xml:space="preserve">CNDP recognized passage and implementation </w:t>
      </w:r>
      <w:r w:rsidRPr="00125AE7">
        <w:rPr>
          <w:rFonts w:ascii="Cambria" w:hAnsi="Cambria"/>
          <w:lang w:eastAsia="x-none"/>
        </w:rPr>
        <w:t xml:space="preserve">of national health care reform, pursuant to the Affordable Care Act, </w:t>
      </w:r>
      <w:r w:rsidR="00A44A80">
        <w:rPr>
          <w:rFonts w:ascii="Cambria" w:hAnsi="Cambria"/>
          <w:lang w:eastAsia="x-none"/>
        </w:rPr>
        <w:t xml:space="preserve">as likely </w:t>
      </w:r>
      <w:r w:rsidRPr="00125AE7">
        <w:rPr>
          <w:rFonts w:ascii="Cambria" w:hAnsi="Cambria"/>
          <w:lang w:eastAsia="x-none"/>
        </w:rPr>
        <w:t xml:space="preserve">a once in a lifetime opportunity to establish the material infrastructure for a health-based drug policy in the U.S. </w:t>
      </w:r>
      <w:r w:rsidR="002946B3">
        <w:rPr>
          <w:rFonts w:ascii="Cambria" w:hAnsi="Cambria"/>
          <w:lang w:eastAsia="x-none"/>
        </w:rPr>
        <w:t>and simultaneously provide health services</w:t>
      </w:r>
      <w:r w:rsidR="00DE0560" w:rsidRPr="00125AE7">
        <w:rPr>
          <w:rFonts w:ascii="Cambria" w:hAnsi="Cambria"/>
          <w:lang w:eastAsia="x-none"/>
        </w:rPr>
        <w:t xml:space="preserve"> </w:t>
      </w:r>
      <w:r w:rsidR="002946B3">
        <w:rPr>
          <w:rFonts w:ascii="Cambria" w:hAnsi="Cambria"/>
          <w:lang w:eastAsia="x-none"/>
        </w:rPr>
        <w:t xml:space="preserve">to </w:t>
      </w:r>
      <w:r w:rsidR="00DE0560" w:rsidRPr="00125AE7">
        <w:rPr>
          <w:rFonts w:ascii="Cambria" w:hAnsi="Cambria"/>
          <w:lang w:eastAsia="x-none"/>
        </w:rPr>
        <w:t xml:space="preserve">a previously </w:t>
      </w:r>
      <w:r w:rsidR="00E6328A">
        <w:rPr>
          <w:rFonts w:ascii="Cambria" w:hAnsi="Cambria"/>
          <w:lang w:eastAsia="x-none"/>
        </w:rPr>
        <w:t xml:space="preserve">disallowed </w:t>
      </w:r>
      <w:r w:rsidR="00DE0560" w:rsidRPr="00125AE7">
        <w:rPr>
          <w:rFonts w:ascii="Cambria" w:hAnsi="Cambria"/>
          <w:lang w:eastAsia="x-none"/>
        </w:rPr>
        <w:t>segment of the</w:t>
      </w:r>
      <w:r w:rsidR="002946B3">
        <w:rPr>
          <w:rFonts w:ascii="Cambria" w:hAnsi="Cambria"/>
          <w:lang w:eastAsia="x-none"/>
        </w:rPr>
        <w:t xml:space="preserve"> population.</w:t>
      </w:r>
      <w:r w:rsidR="00DE0560" w:rsidRPr="00125AE7">
        <w:rPr>
          <w:rFonts w:ascii="Cambria" w:hAnsi="Cambria"/>
          <w:lang w:eastAsia="x-none"/>
        </w:rPr>
        <w:t xml:space="preserve"> </w:t>
      </w:r>
    </w:p>
    <w:p w14:paraId="187E2A4D" w14:textId="77777777" w:rsidR="00A44A80" w:rsidRPr="00125AE7" w:rsidRDefault="00A44A80" w:rsidP="00125AE7">
      <w:pPr>
        <w:rPr>
          <w:rFonts w:ascii="Cambria" w:hAnsi="Cambria"/>
          <w:lang w:eastAsia="x-none"/>
        </w:rPr>
      </w:pPr>
    </w:p>
    <w:p w14:paraId="3B298E23" w14:textId="77777777" w:rsidR="00A6772E" w:rsidRPr="00125AE7" w:rsidRDefault="00A44A80" w:rsidP="00125AE7">
      <w:pPr>
        <w:rPr>
          <w:rFonts w:ascii="Cambria" w:hAnsi="Cambria"/>
          <w:lang w:eastAsia="x-none"/>
        </w:rPr>
      </w:pPr>
      <w:r>
        <w:rPr>
          <w:rFonts w:ascii="Cambria" w:hAnsi="Cambria"/>
          <w:lang w:eastAsia="x-none"/>
        </w:rPr>
        <w:t>I</w:t>
      </w:r>
      <w:r w:rsidR="00FA679D" w:rsidRPr="00125AE7">
        <w:rPr>
          <w:rFonts w:ascii="Cambria" w:hAnsi="Cambria"/>
          <w:lang w:eastAsia="x-none"/>
        </w:rPr>
        <w:t xml:space="preserve">mplementation </w:t>
      </w:r>
      <w:r>
        <w:rPr>
          <w:rFonts w:ascii="Cambria" w:hAnsi="Cambria"/>
          <w:lang w:eastAsia="x-none"/>
        </w:rPr>
        <w:t xml:space="preserve">has continued </w:t>
      </w:r>
      <w:r w:rsidR="00FA679D" w:rsidRPr="00125AE7">
        <w:rPr>
          <w:rFonts w:ascii="Cambria" w:hAnsi="Cambria"/>
          <w:lang w:eastAsia="x-none"/>
        </w:rPr>
        <w:t xml:space="preserve">through 2014 and </w:t>
      </w:r>
      <w:r>
        <w:rPr>
          <w:rFonts w:ascii="Cambria" w:hAnsi="Cambria"/>
          <w:lang w:eastAsia="x-none"/>
        </w:rPr>
        <w:t xml:space="preserve">will likely extend </w:t>
      </w:r>
      <w:r w:rsidR="00FA679D" w:rsidRPr="00125AE7">
        <w:rPr>
          <w:rFonts w:ascii="Cambria" w:hAnsi="Cambria"/>
          <w:lang w:eastAsia="x-none"/>
        </w:rPr>
        <w:t>beyond</w:t>
      </w:r>
      <w:r>
        <w:rPr>
          <w:rFonts w:ascii="Cambria" w:hAnsi="Cambria"/>
          <w:lang w:eastAsia="x-none"/>
        </w:rPr>
        <w:t>.  T</w:t>
      </w:r>
      <w:r w:rsidR="00FA679D" w:rsidRPr="00125AE7">
        <w:rPr>
          <w:rFonts w:ascii="Cambria" w:hAnsi="Cambria"/>
          <w:lang w:eastAsia="x-none"/>
        </w:rPr>
        <w:t>he Campaign</w:t>
      </w:r>
      <w:r>
        <w:rPr>
          <w:rFonts w:ascii="Cambria" w:hAnsi="Cambria"/>
          <w:lang w:eastAsia="x-none"/>
        </w:rPr>
        <w:t>’s ambition has been to take the greatest possible</w:t>
      </w:r>
      <w:r w:rsidR="00FA679D" w:rsidRPr="00125AE7">
        <w:rPr>
          <w:rFonts w:ascii="Cambria" w:hAnsi="Cambria"/>
          <w:lang w:eastAsia="x-none"/>
        </w:rPr>
        <w:t xml:space="preserve"> advantage of relevant and realistic openings to advance reforms that impact drug user health, reduce criminal justice </w:t>
      </w:r>
      <w:r>
        <w:rPr>
          <w:rFonts w:ascii="Cambria" w:hAnsi="Cambria"/>
          <w:lang w:eastAsia="x-none"/>
        </w:rPr>
        <w:t>involvement</w:t>
      </w:r>
      <w:r w:rsidR="00FA679D" w:rsidRPr="00125AE7">
        <w:rPr>
          <w:rFonts w:ascii="Cambria" w:hAnsi="Cambria"/>
          <w:lang w:eastAsia="x-none"/>
        </w:rPr>
        <w:t xml:space="preserve">, and develop related economic opportunities.  </w:t>
      </w:r>
      <w:r w:rsidR="00A6772E" w:rsidRPr="00125AE7">
        <w:rPr>
          <w:rFonts w:ascii="Cambria" w:hAnsi="Cambria"/>
          <w:lang w:eastAsia="x-none"/>
        </w:rPr>
        <w:t xml:space="preserve"> </w:t>
      </w:r>
      <w:r w:rsidR="00E44B8D" w:rsidRPr="00125AE7">
        <w:rPr>
          <w:rFonts w:ascii="Cambria" w:hAnsi="Cambria"/>
          <w:lang w:eastAsia="x-none"/>
        </w:rPr>
        <w:t>Since late 2012, much</w:t>
      </w:r>
      <w:r w:rsidR="00A6772E" w:rsidRPr="00125AE7">
        <w:rPr>
          <w:rFonts w:ascii="Cambria" w:hAnsi="Cambria"/>
          <w:lang w:eastAsia="x-none"/>
        </w:rPr>
        <w:t xml:space="preserve"> of the Campaign’s grantmaking </w:t>
      </w:r>
      <w:r w:rsidR="00835537" w:rsidRPr="00125AE7">
        <w:rPr>
          <w:rFonts w:ascii="Cambria" w:hAnsi="Cambria"/>
          <w:lang w:eastAsia="x-none"/>
        </w:rPr>
        <w:t>has</w:t>
      </w:r>
      <w:r w:rsidR="00A6772E" w:rsidRPr="00125AE7">
        <w:rPr>
          <w:rFonts w:ascii="Cambria" w:hAnsi="Cambria"/>
          <w:lang w:eastAsia="x-none"/>
        </w:rPr>
        <w:t xml:space="preserve"> support</w:t>
      </w:r>
      <w:r w:rsidR="00835537" w:rsidRPr="00125AE7">
        <w:rPr>
          <w:rFonts w:ascii="Cambria" w:hAnsi="Cambria"/>
          <w:lang w:eastAsia="x-none"/>
        </w:rPr>
        <w:t>ed</w:t>
      </w:r>
      <w:r w:rsidR="00A6772E" w:rsidRPr="00125AE7">
        <w:rPr>
          <w:rFonts w:ascii="Cambria" w:hAnsi="Cambria"/>
          <w:lang w:eastAsia="x-none"/>
        </w:rPr>
        <w:t>:</w:t>
      </w:r>
    </w:p>
    <w:p w14:paraId="443E971A" w14:textId="77777777" w:rsidR="00A6772E" w:rsidRPr="00125AE7" w:rsidRDefault="00A6772E" w:rsidP="00125AE7">
      <w:pPr>
        <w:ind w:left="1350" w:hanging="1350"/>
        <w:outlineLvl w:val="1"/>
        <w:rPr>
          <w:rFonts w:ascii="Cambria" w:hAnsi="Cambria"/>
          <w:b/>
          <w:bCs/>
        </w:rPr>
      </w:pPr>
    </w:p>
    <w:p w14:paraId="303797BD" w14:textId="77777777" w:rsidR="00A6772E" w:rsidRPr="00125AE7" w:rsidRDefault="00A6772E" w:rsidP="00125AE7">
      <w:pPr>
        <w:pStyle w:val="ListParagraph"/>
        <w:numPr>
          <w:ilvl w:val="1"/>
          <w:numId w:val="35"/>
        </w:numPr>
        <w:spacing w:line="276" w:lineRule="auto"/>
        <w:ind w:left="720"/>
        <w:rPr>
          <w:rFonts w:ascii="Cambria" w:hAnsi="Cambria"/>
          <w:color w:val="000000"/>
          <w:sz w:val="22"/>
          <w:szCs w:val="22"/>
        </w:rPr>
      </w:pPr>
      <w:r w:rsidRPr="00125AE7">
        <w:rPr>
          <w:rFonts w:ascii="Cambria" w:hAnsi="Cambria"/>
          <w:color w:val="000000"/>
          <w:sz w:val="22"/>
          <w:szCs w:val="22"/>
        </w:rPr>
        <w:t xml:space="preserve">National and state level reforms to ensure meaningful access to </w:t>
      </w:r>
      <w:r w:rsidR="00E6328A">
        <w:rPr>
          <w:rFonts w:ascii="Cambria" w:hAnsi="Cambria"/>
          <w:color w:val="000000"/>
          <w:sz w:val="22"/>
          <w:szCs w:val="22"/>
        </w:rPr>
        <w:t>SUD</w:t>
      </w:r>
      <w:r w:rsidRPr="00125AE7">
        <w:rPr>
          <w:rFonts w:ascii="Cambria" w:hAnsi="Cambria"/>
          <w:color w:val="000000"/>
          <w:sz w:val="22"/>
          <w:szCs w:val="22"/>
        </w:rPr>
        <w:t xml:space="preserve"> services and integration of drug users health in mainstream, evidence based health care;</w:t>
      </w:r>
    </w:p>
    <w:p w14:paraId="5FC4F896" w14:textId="77777777" w:rsidR="00A6772E" w:rsidRPr="00125AE7" w:rsidRDefault="00A6772E" w:rsidP="00125AE7">
      <w:pPr>
        <w:pStyle w:val="ListParagraph"/>
        <w:numPr>
          <w:ilvl w:val="1"/>
          <w:numId w:val="35"/>
        </w:numPr>
        <w:spacing w:line="276" w:lineRule="auto"/>
        <w:ind w:left="720"/>
        <w:rPr>
          <w:rFonts w:ascii="Cambria" w:hAnsi="Cambria"/>
          <w:color w:val="000000"/>
          <w:sz w:val="22"/>
          <w:szCs w:val="22"/>
        </w:rPr>
      </w:pPr>
      <w:r w:rsidRPr="00125AE7">
        <w:rPr>
          <w:rFonts w:ascii="Cambria" w:hAnsi="Cambria"/>
          <w:color w:val="000000"/>
          <w:sz w:val="22"/>
          <w:szCs w:val="22"/>
        </w:rPr>
        <w:t>Defense of current and expansion of Medicaid as a way to increase access to SUD services for low-income SUD populations</w:t>
      </w:r>
      <w:r w:rsidR="00E6328A">
        <w:rPr>
          <w:rFonts w:ascii="Cambria" w:hAnsi="Cambria"/>
          <w:color w:val="000000"/>
          <w:sz w:val="22"/>
          <w:szCs w:val="22"/>
        </w:rPr>
        <w:t>; and</w:t>
      </w:r>
    </w:p>
    <w:p w14:paraId="228184E9" w14:textId="77777777" w:rsidR="00A6772E" w:rsidRPr="00125AE7" w:rsidRDefault="00A6772E" w:rsidP="00125AE7">
      <w:pPr>
        <w:pStyle w:val="ListParagraph"/>
        <w:numPr>
          <w:ilvl w:val="1"/>
          <w:numId w:val="35"/>
        </w:numPr>
        <w:spacing w:line="276" w:lineRule="auto"/>
        <w:ind w:left="720"/>
        <w:rPr>
          <w:rFonts w:ascii="Cambria" w:hAnsi="Cambria"/>
          <w:color w:val="000000"/>
          <w:sz w:val="22"/>
          <w:szCs w:val="22"/>
        </w:rPr>
      </w:pPr>
      <w:r w:rsidRPr="00125AE7">
        <w:rPr>
          <w:rFonts w:ascii="Cambria" w:hAnsi="Cambria"/>
          <w:color w:val="000000"/>
          <w:sz w:val="22"/>
          <w:szCs w:val="22"/>
        </w:rPr>
        <w:t>Support for national and state level consumer and provider coalitions as a constituency for health care reform that addresses drug use as a health issue</w:t>
      </w:r>
      <w:r w:rsidR="00E6328A">
        <w:rPr>
          <w:rFonts w:ascii="Cambria" w:hAnsi="Cambria"/>
          <w:color w:val="000000"/>
          <w:sz w:val="22"/>
          <w:szCs w:val="22"/>
        </w:rPr>
        <w:t>.</w:t>
      </w:r>
      <w:r w:rsidRPr="00125AE7">
        <w:rPr>
          <w:rFonts w:ascii="Cambria" w:hAnsi="Cambria"/>
          <w:color w:val="000000"/>
          <w:sz w:val="22"/>
          <w:szCs w:val="22"/>
        </w:rPr>
        <w:t xml:space="preserve"> </w:t>
      </w:r>
    </w:p>
    <w:p w14:paraId="5DD4A021" w14:textId="77777777" w:rsidR="00A6772E" w:rsidRPr="00125AE7" w:rsidRDefault="00A6772E" w:rsidP="00125AE7">
      <w:pPr>
        <w:pStyle w:val="ListParagraph"/>
        <w:spacing w:line="276" w:lineRule="auto"/>
        <w:ind w:left="0"/>
        <w:rPr>
          <w:rFonts w:ascii="Cambria" w:hAnsi="Cambria"/>
          <w:color w:val="000000"/>
          <w:sz w:val="22"/>
          <w:szCs w:val="22"/>
        </w:rPr>
      </w:pPr>
    </w:p>
    <w:p w14:paraId="411008C0" w14:textId="77777777" w:rsidR="00AC069D" w:rsidRPr="00125AE7" w:rsidRDefault="00B665F8" w:rsidP="00125AE7">
      <w:pPr>
        <w:rPr>
          <w:rFonts w:ascii="Cambria" w:hAnsi="Cambria"/>
          <w:lang w:eastAsia="x-none"/>
        </w:rPr>
      </w:pPr>
      <w:r w:rsidRPr="00125AE7">
        <w:rPr>
          <w:rFonts w:ascii="Cambria" w:hAnsi="Cambria"/>
          <w:lang w:eastAsia="x-none"/>
        </w:rPr>
        <w:t>Provisions of the ACA and prior law that require</w:t>
      </w:r>
      <w:r w:rsidR="00A6772E" w:rsidRPr="00125AE7">
        <w:rPr>
          <w:rFonts w:ascii="Cambria" w:hAnsi="Cambria"/>
          <w:lang w:eastAsia="x-none"/>
        </w:rPr>
        <w:t xml:space="preserve"> insurance </w:t>
      </w:r>
      <w:r w:rsidRPr="00125AE7">
        <w:rPr>
          <w:rFonts w:ascii="Cambria" w:hAnsi="Cambria"/>
          <w:lang w:eastAsia="x-none"/>
        </w:rPr>
        <w:t xml:space="preserve">providers, including the government, </w:t>
      </w:r>
      <w:r w:rsidR="00A6772E" w:rsidRPr="00125AE7">
        <w:rPr>
          <w:rFonts w:ascii="Cambria" w:hAnsi="Cambria"/>
          <w:lang w:eastAsia="x-none"/>
        </w:rPr>
        <w:t xml:space="preserve">to provide a substance use disorder benefit and other health </w:t>
      </w:r>
      <w:r w:rsidR="00FA679D" w:rsidRPr="00125AE7">
        <w:rPr>
          <w:rFonts w:ascii="Cambria" w:hAnsi="Cambria"/>
          <w:lang w:eastAsia="x-none"/>
        </w:rPr>
        <w:t xml:space="preserve">benefits </w:t>
      </w:r>
      <w:r w:rsidR="00A44A80">
        <w:rPr>
          <w:rFonts w:ascii="Cambria" w:hAnsi="Cambria"/>
          <w:lang w:eastAsia="x-none"/>
        </w:rPr>
        <w:t>prompted</w:t>
      </w:r>
      <w:r w:rsidR="00A6772E" w:rsidRPr="00125AE7">
        <w:rPr>
          <w:rFonts w:ascii="Cambria" w:hAnsi="Cambria"/>
          <w:lang w:eastAsia="x-none"/>
        </w:rPr>
        <w:t xml:space="preserve"> </w:t>
      </w:r>
      <w:r w:rsidRPr="00125AE7">
        <w:rPr>
          <w:rFonts w:ascii="Cambria" w:hAnsi="Cambria"/>
          <w:lang w:eastAsia="x-none"/>
        </w:rPr>
        <w:t xml:space="preserve">CNDP to structure its grantmaking </w:t>
      </w:r>
      <w:r w:rsidR="00A6772E" w:rsidRPr="00125AE7">
        <w:rPr>
          <w:rFonts w:ascii="Cambria" w:hAnsi="Cambria"/>
          <w:lang w:eastAsia="x-none"/>
        </w:rPr>
        <w:t xml:space="preserve">portfolio </w:t>
      </w:r>
      <w:r w:rsidRPr="00125AE7">
        <w:rPr>
          <w:rFonts w:ascii="Cambria" w:hAnsi="Cambria"/>
          <w:lang w:eastAsia="x-none"/>
        </w:rPr>
        <w:t>a</w:t>
      </w:r>
      <w:r w:rsidR="00FA679D" w:rsidRPr="00125AE7">
        <w:rPr>
          <w:rFonts w:ascii="Cambria" w:hAnsi="Cambria"/>
          <w:lang w:eastAsia="x-none"/>
        </w:rPr>
        <w:t>n</w:t>
      </w:r>
      <w:r w:rsidRPr="00125AE7">
        <w:rPr>
          <w:rFonts w:ascii="Cambria" w:hAnsi="Cambria"/>
          <w:lang w:eastAsia="x-none"/>
        </w:rPr>
        <w:t xml:space="preserve">d programmatic work across fields to </w:t>
      </w:r>
      <w:r w:rsidR="00FA679D" w:rsidRPr="00125AE7">
        <w:rPr>
          <w:rFonts w:ascii="Cambria" w:hAnsi="Cambria"/>
          <w:lang w:eastAsia="x-none"/>
        </w:rPr>
        <w:t xml:space="preserve">support the development of </w:t>
      </w:r>
      <w:r w:rsidR="00A6772E" w:rsidRPr="00125AE7">
        <w:rPr>
          <w:rFonts w:ascii="Cambria" w:hAnsi="Cambria"/>
          <w:lang w:eastAsia="x-none"/>
        </w:rPr>
        <w:t xml:space="preserve">a health care infrastructure for drug policy reform. </w:t>
      </w:r>
      <w:r w:rsidRPr="00125AE7">
        <w:rPr>
          <w:rFonts w:ascii="Cambria" w:hAnsi="Cambria"/>
          <w:lang w:eastAsia="x-none"/>
        </w:rPr>
        <w:t>Following passage of the ACA</w:t>
      </w:r>
      <w:r w:rsidR="00A6772E" w:rsidRPr="00125AE7">
        <w:rPr>
          <w:rFonts w:ascii="Cambria" w:hAnsi="Cambria"/>
          <w:lang w:eastAsia="x-none"/>
        </w:rPr>
        <w:t xml:space="preserve">, the Campaign </w:t>
      </w:r>
      <w:r w:rsidRPr="00125AE7">
        <w:rPr>
          <w:rFonts w:ascii="Cambria" w:hAnsi="Cambria"/>
          <w:lang w:eastAsia="x-none"/>
        </w:rPr>
        <w:t>funded</w:t>
      </w:r>
      <w:r w:rsidR="00A6772E" w:rsidRPr="00125AE7">
        <w:rPr>
          <w:rFonts w:ascii="Cambria" w:hAnsi="Cambria"/>
          <w:lang w:eastAsia="x-none"/>
        </w:rPr>
        <w:t xml:space="preserve"> advocacy to ensure </w:t>
      </w:r>
      <w:r w:rsidRPr="00125AE7">
        <w:rPr>
          <w:rFonts w:ascii="Cambria" w:hAnsi="Cambria"/>
          <w:lang w:eastAsia="x-none"/>
        </w:rPr>
        <w:t>that</w:t>
      </w:r>
      <w:r w:rsidR="00FA679D" w:rsidRPr="00125AE7">
        <w:rPr>
          <w:rFonts w:ascii="Cambria" w:hAnsi="Cambria"/>
          <w:lang w:eastAsia="x-none"/>
        </w:rPr>
        <w:t xml:space="preserve"> national and select </w:t>
      </w:r>
      <w:r w:rsidR="00E96DA9" w:rsidRPr="00125AE7">
        <w:rPr>
          <w:rFonts w:ascii="Cambria" w:hAnsi="Cambria"/>
          <w:lang w:eastAsia="x-none"/>
        </w:rPr>
        <w:t xml:space="preserve">state </w:t>
      </w:r>
      <w:r w:rsidRPr="00125AE7">
        <w:rPr>
          <w:rFonts w:ascii="Cambria" w:hAnsi="Cambria"/>
          <w:lang w:eastAsia="x-none"/>
        </w:rPr>
        <w:t xml:space="preserve">regulatory </w:t>
      </w:r>
      <w:r w:rsidR="00A6772E" w:rsidRPr="00125AE7">
        <w:rPr>
          <w:rFonts w:ascii="Cambria" w:hAnsi="Cambria"/>
          <w:lang w:eastAsia="x-none"/>
        </w:rPr>
        <w:t xml:space="preserve">implementation would </w:t>
      </w:r>
      <w:r w:rsidRPr="00125AE7">
        <w:rPr>
          <w:rFonts w:ascii="Cambria" w:hAnsi="Cambria"/>
          <w:lang w:eastAsia="x-none"/>
        </w:rPr>
        <w:t xml:space="preserve">require a </w:t>
      </w:r>
      <w:r w:rsidR="00A6772E" w:rsidRPr="00125AE7">
        <w:rPr>
          <w:rFonts w:ascii="Cambria" w:hAnsi="Cambria"/>
          <w:lang w:eastAsia="x-none"/>
        </w:rPr>
        <w:t xml:space="preserve">comprehensive, evidence based SUD benefit for diverse populations.  The team originally supported existing SUD advocates including Legal Action Center, Harm Reduction Coalition, State Association of Addiction Services, </w:t>
      </w:r>
      <w:r w:rsidR="00E6328A">
        <w:rPr>
          <w:rFonts w:ascii="Cambria" w:hAnsi="Cambria"/>
          <w:lang w:eastAsia="x-none"/>
        </w:rPr>
        <w:t xml:space="preserve">and </w:t>
      </w:r>
      <w:r w:rsidR="00FA679D" w:rsidRPr="00125AE7">
        <w:rPr>
          <w:rFonts w:ascii="Cambria" w:hAnsi="Cambria"/>
          <w:lang w:eastAsia="x-none"/>
        </w:rPr>
        <w:t xml:space="preserve">Faces and Voices of Recovery </w:t>
      </w:r>
      <w:r w:rsidR="00E6328A">
        <w:rPr>
          <w:rFonts w:ascii="Cambria" w:hAnsi="Cambria"/>
          <w:lang w:eastAsia="x-none"/>
        </w:rPr>
        <w:t xml:space="preserve">– </w:t>
      </w:r>
      <w:r w:rsidR="00A6772E" w:rsidRPr="00125AE7">
        <w:rPr>
          <w:rFonts w:ascii="Cambria" w:hAnsi="Cambria"/>
          <w:lang w:eastAsia="x-none"/>
        </w:rPr>
        <w:t xml:space="preserve">assuming </w:t>
      </w:r>
      <w:r w:rsidR="00E6328A">
        <w:rPr>
          <w:rFonts w:ascii="Cambria" w:hAnsi="Cambria"/>
          <w:lang w:eastAsia="x-none"/>
        </w:rPr>
        <w:t xml:space="preserve">that </w:t>
      </w:r>
      <w:r w:rsidR="00A6772E" w:rsidRPr="00125AE7">
        <w:rPr>
          <w:rFonts w:ascii="Cambria" w:hAnsi="Cambria"/>
          <w:lang w:eastAsia="x-none"/>
        </w:rPr>
        <w:t xml:space="preserve">they were best prepared to educate policymakers.  </w:t>
      </w:r>
    </w:p>
    <w:p w14:paraId="1F2C83C5" w14:textId="77777777" w:rsidR="00AC069D" w:rsidRPr="00125AE7" w:rsidRDefault="00AC069D" w:rsidP="00125AE7">
      <w:pPr>
        <w:rPr>
          <w:rFonts w:ascii="Cambria" w:hAnsi="Cambria"/>
          <w:lang w:eastAsia="x-none"/>
        </w:rPr>
      </w:pPr>
    </w:p>
    <w:p w14:paraId="09C7E420" w14:textId="668DE056" w:rsidR="00AC069D" w:rsidRPr="00125AE7" w:rsidRDefault="00B665F8" w:rsidP="00125AE7">
      <w:pPr>
        <w:rPr>
          <w:rFonts w:ascii="Cambria" w:hAnsi="Cambria"/>
          <w:lang w:eastAsia="x-none"/>
        </w:rPr>
      </w:pPr>
      <w:r w:rsidRPr="00125AE7">
        <w:rPr>
          <w:rFonts w:ascii="Cambria" w:hAnsi="Cambria"/>
          <w:lang w:eastAsia="x-none"/>
        </w:rPr>
        <w:t>We learned h</w:t>
      </w:r>
      <w:r w:rsidR="00A6772E" w:rsidRPr="00125AE7">
        <w:rPr>
          <w:rFonts w:ascii="Cambria" w:hAnsi="Cambria"/>
          <w:lang w:eastAsia="x-none"/>
        </w:rPr>
        <w:t>owever</w:t>
      </w:r>
      <w:r w:rsidRPr="00125AE7">
        <w:rPr>
          <w:rFonts w:ascii="Cambria" w:hAnsi="Cambria"/>
          <w:lang w:eastAsia="x-none"/>
        </w:rPr>
        <w:t xml:space="preserve"> that, </w:t>
      </w:r>
      <w:r w:rsidR="00A6772E" w:rsidRPr="00125AE7">
        <w:rPr>
          <w:rFonts w:ascii="Cambria" w:hAnsi="Cambria"/>
          <w:lang w:eastAsia="x-none"/>
        </w:rPr>
        <w:t>having always been a part of the public health and justice system structure</w:t>
      </w:r>
      <w:r w:rsidR="00A73619" w:rsidRPr="00125AE7">
        <w:rPr>
          <w:rFonts w:ascii="Cambria" w:hAnsi="Cambria"/>
          <w:lang w:eastAsia="x-none"/>
        </w:rPr>
        <w:t>s</w:t>
      </w:r>
      <w:r w:rsidR="00A6772E" w:rsidRPr="00125AE7">
        <w:rPr>
          <w:rFonts w:ascii="Cambria" w:hAnsi="Cambria"/>
          <w:lang w:eastAsia="x-none"/>
        </w:rPr>
        <w:t>, the</w:t>
      </w:r>
      <w:r w:rsidRPr="00125AE7">
        <w:rPr>
          <w:rFonts w:ascii="Cambria" w:hAnsi="Cambria"/>
          <w:lang w:eastAsia="x-none"/>
        </w:rPr>
        <w:t>se</w:t>
      </w:r>
      <w:r w:rsidR="00A6772E" w:rsidRPr="00125AE7">
        <w:rPr>
          <w:rFonts w:ascii="Cambria" w:hAnsi="Cambria"/>
          <w:lang w:eastAsia="x-none"/>
        </w:rPr>
        <w:t xml:space="preserve"> groups </w:t>
      </w:r>
      <w:r w:rsidRPr="00125AE7">
        <w:rPr>
          <w:rFonts w:ascii="Cambria" w:hAnsi="Cambria"/>
          <w:lang w:eastAsia="x-none"/>
        </w:rPr>
        <w:t xml:space="preserve">initially did not have the experience or </w:t>
      </w:r>
      <w:r w:rsidR="00A73619" w:rsidRPr="00125AE7">
        <w:rPr>
          <w:rFonts w:ascii="Cambria" w:hAnsi="Cambria"/>
          <w:lang w:eastAsia="x-none"/>
        </w:rPr>
        <w:t xml:space="preserve">necessary </w:t>
      </w:r>
      <w:r w:rsidRPr="00125AE7">
        <w:rPr>
          <w:rFonts w:ascii="Cambria" w:hAnsi="Cambria"/>
          <w:lang w:eastAsia="x-none"/>
        </w:rPr>
        <w:t>relationships</w:t>
      </w:r>
      <w:r w:rsidR="00A6772E" w:rsidRPr="00125AE7">
        <w:rPr>
          <w:rFonts w:ascii="Cambria" w:hAnsi="Cambria"/>
          <w:lang w:eastAsia="x-none"/>
        </w:rPr>
        <w:t xml:space="preserve"> to advocate </w:t>
      </w:r>
      <w:r w:rsidRPr="00125AE7">
        <w:rPr>
          <w:rFonts w:ascii="Cambria" w:hAnsi="Cambria"/>
          <w:lang w:eastAsia="x-none"/>
        </w:rPr>
        <w:t xml:space="preserve">successfully </w:t>
      </w:r>
      <w:r w:rsidR="00A6772E" w:rsidRPr="00125AE7">
        <w:rPr>
          <w:rFonts w:ascii="Cambria" w:hAnsi="Cambria"/>
          <w:lang w:eastAsia="x-none"/>
        </w:rPr>
        <w:t xml:space="preserve">within the health care system </w:t>
      </w:r>
      <w:r w:rsidRPr="00125AE7">
        <w:rPr>
          <w:rFonts w:ascii="Cambria" w:hAnsi="Cambria"/>
          <w:lang w:eastAsia="x-none"/>
        </w:rPr>
        <w:t xml:space="preserve">policymaking </w:t>
      </w:r>
      <w:r w:rsidR="00A6772E" w:rsidRPr="00125AE7">
        <w:rPr>
          <w:rFonts w:ascii="Cambria" w:hAnsi="Cambria"/>
          <w:lang w:eastAsia="x-none"/>
        </w:rPr>
        <w:t>structure</w:t>
      </w:r>
      <w:r w:rsidRPr="00125AE7">
        <w:rPr>
          <w:rFonts w:ascii="Cambria" w:hAnsi="Cambria"/>
          <w:lang w:eastAsia="x-none"/>
        </w:rPr>
        <w:t xml:space="preserve">.  They were also </w:t>
      </w:r>
      <w:r w:rsidR="00A6772E" w:rsidRPr="00125AE7">
        <w:rPr>
          <w:rFonts w:ascii="Cambria" w:hAnsi="Cambria"/>
          <w:lang w:eastAsia="x-none"/>
        </w:rPr>
        <w:t>reluctant</w:t>
      </w:r>
      <w:r w:rsidR="00AC069D" w:rsidRPr="00125AE7">
        <w:rPr>
          <w:rFonts w:ascii="Cambria" w:hAnsi="Cambria"/>
          <w:lang w:eastAsia="x-none"/>
        </w:rPr>
        <w:t xml:space="preserve">, for a variety of reasons, </w:t>
      </w:r>
      <w:r w:rsidR="00A6772E" w:rsidRPr="00125AE7">
        <w:rPr>
          <w:rFonts w:ascii="Cambria" w:hAnsi="Cambria"/>
          <w:lang w:eastAsia="x-none"/>
        </w:rPr>
        <w:t>to work in effective coalitions with each other or other non</w:t>
      </w:r>
      <w:r w:rsidR="00A73619" w:rsidRPr="00125AE7">
        <w:rPr>
          <w:rFonts w:ascii="Cambria" w:hAnsi="Cambria"/>
          <w:lang w:eastAsia="x-none"/>
        </w:rPr>
        <w:t>-</w:t>
      </w:r>
      <w:r w:rsidR="00A6772E" w:rsidRPr="00125AE7">
        <w:rPr>
          <w:rFonts w:ascii="Cambria" w:hAnsi="Cambria"/>
          <w:lang w:eastAsia="x-none"/>
        </w:rPr>
        <w:t xml:space="preserve">SUD health advocates. </w:t>
      </w:r>
      <w:r w:rsidR="004E6CE8" w:rsidRPr="00125AE7">
        <w:rPr>
          <w:rFonts w:ascii="Cambria" w:hAnsi="Cambria"/>
          <w:lang w:eastAsia="x-none"/>
        </w:rPr>
        <w:t>Some of</w:t>
      </w:r>
      <w:r w:rsidR="001F234B" w:rsidRPr="00125AE7">
        <w:rPr>
          <w:rFonts w:ascii="Cambria" w:hAnsi="Cambria"/>
          <w:lang w:eastAsia="x-none"/>
        </w:rPr>
        <w:t xml:space="preserve"> the groups </w:t>
      </w:r>
      <w:r w:rsidR="003E4A71">
        <w:rPr>
          <w:rFonts w:ascii="Cambria" w:hAnsi="Cambria"/>
          <w:lang w:eastAsia="x-none"/>
        </w:rPr>
        <w:t>failed to fully engage in this work because</w:t>
      </w:r>
      <w:r w:rsidR="000E75FC">
        <w:rPr>
          <w:rFonts w:ascii="Cambria" w:hAnsi="Cambria"/>
          <w:lang w:eastAsia="x-none"/>
        </w:rPr>
        <w:t xml:space="preserve"> – </w:t>
      </w:r>
      <w:r w:rsidR="003E4A71">
        <w:rPr>
          <w:rFonts w:ascii="Cambria" w:hAnsi="Cambria"/>
          <w:lang w:eastAsia="x-none"/>
        </w:rPr>
        <w:t xml:space="preserve">at least </w:t>
      </w:r>
      <w:r w:rsidR="003E4A71" w:rsidRPr="009959B0">
        <w:rPr>
          <w:rFonts w:ascii="Cambria" w:hAnsi="Cambria"/>
          <w:lang w:eastAsia="x-none"/>
        </w:rPr>
        <w:t xml:space="preserve">initially </w:t>
      </w:r>
      <w:r w:rsidR="003E4A71">
        <w:rPr>
          <w:rFonts w:ascii="Cambria" w:hAnsi="Cambria"/>
          <w:lang w:eastAsia="x-none"/>
        </w:rPr>
        <w:t xml:space="preserve">– they </w:t>
      </w:r>
      <w:r w:rsidR="001F234B" w:rsidRPr="00125AE7">
        <w:rPr>
          <w:rFonts w:ascii="Cambria" w:hAnsi="Cambria"/>
          <w:lang w:eastAsia="x-none"/>
        </w:rPr>
        <w:t xml:space="preserve">did not </w:t>
      </w:r>
      <w:r w:rsidR="003E4A71">
        <w:rPr>
          <w:rFonts w:ascii="Cambria" w:hAnsi="Cambria"/>
          <w:lang w:eastAsia="x-none"/>
        </w:rPr>
        <w:t xml:space="preserve">see </w:t>
      </w:r>
      <w:r w:rsidR="001F234B" w:rsidRPr="00125AE7">
        <w:rPr>
          <w:rFonts w:ascii="Cambria" w:hAnsi="Cambria"/>
          <w:lang w:eastAsia="x-none"/>
        </w:rPr>
        <w:t xml:space="preserve">opportunities for drug policy reform </w:t>
      </w:r>
      <w:r w:rsidR="00FA679D" w:rsidRPr="00125AE7">
        <w:rPr>
          <w:rFonts w:ascii="Cambria" w:hAnsi="Cambria"/>
          <w:lang w:eastAsia="x-none"/>
        </w:rPr>
        <w:t>(</w:t>
      </w:r>
      <w:r w:rsidR="00A4011C">
        <w:rPr>
          <w:rFonts w:ascii="Cambria" w:hAnsi="Cambria"/>
          <w:lang w:eastAsia="x-none"/>
        </w:rPr>
        <w:t xml:space="preserve">e.g. </w:t>
      </w:r>
      <w:r w:rsidR="001F234B" w:rsidRPr="00125AE7">
        <w:rPr>
          <w:rFonts w:ascii="Cambria" w:hAnsi="Cambria"/>
          <w:lang w:eastAsia="x-none"/>
        </w:rPr>
        <w:t>DPA</w:t>
      </w:r>
      <w:r w:rsidR="00A73619" w:rsidRPr="00125AE7">
        <w:rPr>
          <w:rFonts w:ascii="Cambria" w:hAnsi="Cambria"/>
          <w:lang w:eastAsia="x-none"/>
        </w:rPr>
        <w:t xml:space="preserve"> </w:t>
      </w:r>
      <w:r w:rsidR="00A4011C">
        <w:rPr>
          <w:rFonts w:ascii="Cambria" w:hAnsi="Cambria"/>
          <w:lang w:eastAsia="x-none"/>
        </w:rPr>
        <w:t xml:space="preserve">and </w:t>
      </w:r>
      <w:r w:rsidR="00A73619" w:rsidRPr="00125AE7">
        <w:rPr>
          <w:rFonts w:ascii="Cambria" w:hAnsi="Cambria"/>
          <w:lang w:eastAsia="x-none"/>
        </w:rPr>
        <w:t>some harm reduction groups</w:t>
      </w:r>
      <w:r w:rsidR="00FA679D" w:rsidRPr="00125AE7">
        <w:rPr>
          <w:rFonts w:ascii="Cambria" w:hAnsi="Cambria"/>
          <w:lang w:eastAsia="x-none"/>
        </w:rPr>
        <w:t>)</w:t>
      </w:r>
      <w:r w:rsidR="003E4A71">
        <w:rPr>
          <w:rFonts w:ascii="Cambria" w:hAnsi="Cambria"/>
          <w:lang w:eastAsia="x-none"/>
        </w:rPr>
        <w:t xml:space="preserve">.  Others </w:t>
      </w:r>
      <w:r w:rsidR="001F234B" w:rsidRPr="00125AE7">
        <w:rPr>
          <w:rFonts w:ascii="Cambria" w:hAnsi="Cambria"/>
          <w:lang w:eastAsia="x-none"/>
        </w:rPr>
        <w:t>did not think health care reform could ever really address “their</w:t>
      </w:r>
      <w:r w:rsidR="003E4A71">
        <w:rPr>
          <w:rFonts w:ascii="Cambria" w:hAnsi="Cambria"/>
          <w:lang w:eastAsia="x-none"/>
        </w:rPr>
        <w:t xml:space="preserve">” </w:t>
      </w:r>
      <w:r w:rsidR="001F234B" w:rsidRPr="00125AE7">
        <w:rPr>
          <w:rFonts w:ascii="Cambria" w:hAnsi="Cambria"/>
          <w:lang w:eastAsia="x-none"/>
        </w:rPr>
        <w:t>populations</w:t>
      </w:r>
      <w:r w:rsidR="00FA679D" w:rsidRPr="00125AE7">
        <w:rPr>
          <w:rFonts w:ascii="Cambria" w:hAnsi="Cambria"/>
          <w:lang w:eastAsia="x-none"/>
        </w:rPr>
        <w:t>’</w:t>
      </w:r>
      <w:r w:rsidR="001F234B" w:rsidRPr="00125AE7">
        <w:rPr>
          <w:rFonts w:ascii="Cambria" w:hAnsi="Cambria"/>
          <w:lang w:eastAsia="x-none"/>
        </w:rPr>
        <w:t xml:space="preserve"> need</w:t>
      </w:r>
      <w:r w:rsidR="00FA679D" w:rsidRPr="00125AE7">
        <w:rPr>
          <w:rFonts w:ascii="Cambria" w:hAnsi="Cambria"/>
          <w:lang w:eastAsia="x-none"/>
        </w:rPr>
        <w:t>s</w:t>
      </w:r>
      <w:r w:rsidR="001F234B" w:rsidRPr="00125AE7">
        <w:rPr>
          <w:rFonts w:ascii="Cambria" w:hAnsi="Cambria"/>
          <w:lang w:eastAsia="x-none"/>
        </w:rPr>
        <w:t xml:space="preserve"> (some harm reduction</w:t>
      </w:r>
      <w:r w:rsidR="00A73619" w:rsidRPr="00125AE7">
        <w:rPr>
          <w:rFonts w:ascii="Cambria" w:hAnsi="Cambria"/>
          <w:lang w:eastAsia="x-none"/>
        </w:rPr>
        <w:t>, treatment and recovery</w:t>
      </w:r>
      <w:r w:rsidR="00D479BD" w:rsidRPr="00125AE7">
        <w:rPr>
          <w:rFonts w:ascii="Cambria" w:hAnsi="Cambria"/>
          <w:lang w:eastAsia="x-none"/>
        </w:rPr>
        <w:t xml:space="preserve"> </w:t>
      </w:r>
      <w:r w:rsidR="001F234B" w:rsidRPr="00125AE7">
        <w:rPr>
          <w:rFonts w:ascii="Cambria" w:hAnsi="Cambria"/>
          <w:lang w:eastAsia="x-none"/>
        </w:rPr>
        <w:t>groups)</w:t>
      </w:r>
      <w:r w:rsidR="003E4A71">
        <w:rPr>
          <w:rFonts w:ascii="Cambria" w:hAnsi="Cambria"/>
          <w:lang w:eastAsia="x-none"/>
        </w:rPr>
        <w:t xml:space="preserve">.  Still </w:t>
      </w:r>
      <w:r w:rsidR="001F234B" w:rsidRPr="00125AE7">
        <w:rPr>
          <w:rFonts w:ascii="Cambria" w:hAnsi="Cambria"/>
          <w:lang w:eastAsia="x-none"/>
        </w:rPr>
        <w:t xml:space="preserve">others saw health care reform implementation as a threat to their existence (some drug treatment advocates). </w:t>
      </w:r>
      <w:r w:rsidR="003E4A71">
        <w:rPr>
          <w:rFonts w:ascii="Cambria" w:hAnsi="Cambria"/>
          <w:lang w:eastAsia="x-none"/>
        </w:rPr>
        <w:t>Rather than</w:t>
      </w:r>
      <w:r w:rsidR="00FA679D" w:rsidRPr="00125AE7">
        <w:rPr>
          <w:rFonts w:ascii="Cambria" w:hAnsi="Cambria"/>
          <w:lang w:eastAsia="x-none"/>
        </w:rPr>
        <w:t xml:space="preserve"> advocate for </w:t>
      </w:r>
      <w:r w:rsidR="00A73619" w:rsidRPr="00125AE7">
        <w:rPr>
          <w:rFonts w:ascii="Cambria" w:hAnsi="Cambria"/>
          <w:lang w:eastAsia="x-none"/>
        </w:rPr>
        <w:t>health care reform that appropriately served SUD clients</w:t>
      </w:r>
      <w:r w:rsidR="003E4A71">
        <w:rPr>
          <w:rFonts w:ascii="Cambria" w:hAnsi="Cambria"/>
          <w:lang w:eastAsia="x-none"/>
        </w:rPr>
        <w:t>,</w:t>
      </w:r>
      <w:r w:rsidR="00FA679D" w:rsidRPr="00125AE7">
        <w:rPr>
          <w:rFonts w:ascii="Cambria" w:hAnsi="Cambria"/>
          <w:lang w:eastAsia="x-none"/>
        </w:rPr>
        <w:t xml:space="preserve"> they ignored </w:t>
      </w:r>
      <w:r w:rsidR="003E4A71">
        <w:rPr>
          <w:rFonts w:ascii="Cambria" w:hAnsi="Cambria"/>
          <w:lang w:eastAsia="x-none"/>
        </w:rPr>
        <w:t>or</w:t>
      </w:r>
      <w:r w:rsidR="003E4A71" w:rsidRPr="00125AE7">
        <w:rPr>
          <w:rFonts w:ascii="Cambria" w:hAnsi="Cambria"/>
          <w:lang w:eastAsia="x-none"/>
        </w:rPr>
        <w:t xml:space="preserve"> </w:t>
      </w:r>
      <w:r w:rsidR="00FA679D" w:rsidRPr="00125AE7">
        <w:rPr>
          <w:rFonts w:ascii="Cambria" w:hAnsi="Cambria"/>
          <w:lang w:eastAsia="x-none"/>
        </w:rPr>
        <w:t xml:space="preserve">vilified the “health system.” </w:t>
      </w:r>
      <w:r w:rsidR="00093A4F" w:rsidRPr="00125AE7">
        <w:rPr>
          <w:rFonts w:ascii="Cambria" w:hAnsi="Cambria"/>
          <w:lang w:eastAsia="x-none"/>
        </w:rPr>
        <w:t xml:space="preserve"> </w:t>
      </w:r>
      <w:r w:rsidR="00A73619" w:rsidRPr="00125AE7">
        <w:rPr>
          <w:rFonts w:ascii="Cambria" w:hAnsi="Cambria"/>
          <w:lang w:eastAsia="x-none"/>
        </w:rPr>
        <w:t>C</w:t>
      </w:r>
      <w:r w:rsidR="001F234B" w:rsidRPr="00125AE7">
        <w:rPr>
          <w:rFonts w:ascii="Cambria" w:hAnsi="Cambria"/>
          <w:lang w:eastAsia="x-none"/>
        </w:rPr>
        <w:t xml:space="preserve">onsiderable </w:t>
      </w:r>
      <w:r w:rsidR="003E4A71">
        <w:rPr>
          <w:rFonts w:ascii="Cambria" w:hAnsi="Cambria"/>
          <w:lang w:eastAsia="x-none"/>
        </w:rPr>
        <w:t xml:space="preserve">CNDP </w:t>
      </w:r>
      <w:r w:rsidR="001F234B" w:rsidRPr="00125AE7">
        <w:rPr>
          <w:rFonts w:ascii="Cambria" w:hAnsi="Cambria"/>
          <w:lang w:eastAsia="x-none"/>
        </w:rPr>
        <w:t xml:space="preserve">time was </w:t>
      </w:r>
      <w:r w:rsidR="00093A4F" w:rsidRPr="00125AE7">
        <w:rPr>
          <w:rFonts w:ascii="Cambria" w:hAnsi="Cambria"/>
          <w:lang w:eastAsia="x-none"/>
        </w:rPr>
        <w:t xml:space="preserve">spent </w:t>
      </w:r>
      <w:r w:rsidR="001F234B" w:rsidRPr="00125AE7">
        <w:rPr>
          <w:rFonts w:ascii="Cambria" w:hAnsi="Cambria"/>
          <w:lang w:eastAsia="x-none"/>
        </w:rPr>
        <w:t>educat</w:t>
      </w:r>
      <w:r w:rsidR="00093A4F" w:rsidRPr="00125AE7">
        <w:rPr>
          <w:rFonts w:ascii="Cambria" w:hAnsi="Cambria"/>
          <w:lang w:eastAsia="x-none"/>
        </w:rPr>
        <w:t>ing</w:t>
      </w:r>
      <w:r w:rsidR="001F234B" w:rsidRPr="00125AE7">
        <w:rPr>
          <w:rFonts w:ascii="Cambria" w:hAnsi="Cambria"/>
          <w:lang w:eastAsia="x-none"/>
        </w:rPr>
        <w:t xml:space="preserve"> groups on </w:t>
      </w:r>
      <w:r w:rsidR="00093A4F" w:rsidRPr="00125AE7">
        <w:rPr>
          <w:rFonts w:ascii="Cambria" w:hAnsi="Cambria"/>
          <w:lang w:eastAsia="x-none"/>
        </w:rPr>
        <w:t xml:space="preserve">the possibilities of reform, the reality </w:t>
      </w:r>
      <w:r w:rsidR="001F234B" w:rsidRPr="00125AE7">
        <w:rPr>
          <w:rFonts w:ascii="Cambria" w:hAnsi="Cambria"/>
          <w:lang w:eastAsia="x-none"/>
        </w:rPr>
        <w:t xml:space="preserve">that </w:t>
      </w:r>
      <w:r w:rsidR="00093A4F" w:rsidRPr="00125AE7">
        <w:rPr>
          <w:rFonts w:ascii="Cambria" w:hAnsi="Cambria"/>
          <w:lang w:eastAsia="x-none"/>
        </w:rPr>
        <w:t xml:space="preserve">public health funding </w:t>
      </w:r>
      <w:r w:rsidR="000E75FC">
        <w:rPr>
          <w:rFonts w:ascii="Cambria" w:hAnsi="Cambria"/>
          <w:lang w:eastAsia="x-none"/>
        </w:rPr>
        <w:t xml:space="preserve">could be </w:t>
      </w:r>
      <w:r w:rsidR="003E4A71">
        <w:rPr>
          <w:rFonts w:ascii="Cambria" w:hAnsi="Cambria"/>
          <w:lang w:eastAsia="x-none"/>
        </w:rPr>
        <w:t xml:space="preserve">a source of revenue and stability, </w:t>
      </w:r>
      <w:r w:rsidR="00093A4F" w:rsidRPr="00125AE7">
        <w:rPr>
          <w:rFonts w:ascii="Cambria" w:hAnsi="Cambria"/>
          <w:lang w:eastAsia="x-none"/>
        </w:rPr>
        <w:t xml:space="preserve">and </w:t>
      </w:r>
      <w:r w:rsidR="00A4011C">
        <w:rPr>
          <w:rFonts w:ascii="Cambria" w:hAnsi="Cambria"/>
          <w:lang w:eastAsia="x-none"/>
        </w:rPr>
        <w:t xml:space="preserve">the </w:t>
      </w:r>
      <w:r w:rsidR="000E75FC">
        <w:rPr>
          <w:rFonts w:ascii="Cambria" w:hAnsi="Cambria"/>
          <w:lang w:eastAsia="x-none"/>
        </w:rPr>
        <w:t xml:space="preserve">need to </w:t>
      </w:r>
      <w:r w:rsidR="003E4A71">
        <w:rPr>
          <w:rFonts w:ascii="Cambria" w:hAnsi="Cambria"/>
          <w:lang w:eastAsia="x-none"/>
        </w:rPr>
        <w:t>work in coalition to share expertise and capacity</w:t>
      </w:r>
      <w:r w:rsidR="00A73619" w:rsidRPr="00125AE7">
        <w:rPr>
          <w:rFonts w:ascii="Cambria" w:hAnsi="Cambria"/>
          <w:lang w:eastAsia="x-none"/>
        </w:rPr>
        <w:t xml:space="preserve">. </w:t>
      </w:r>
      <w:r w:rsidR="003E4A71">
        <w:rPr>
          <w:rFonts w:ascii="Cambria" w:hAnsi="Cambria"/>
          <w:lang w:eastAsia="x-none"/>
        </w:rPr>
        <w:t>T</w:t>
      </w:r>
      <w:r w:rsidR="00A73619" w:rsidRPr="00125AE7">
        <w:rPr>
          <w:rFonts w:ascii="Cambria" w:hAnsi="Cambria"/>
          <w:lang w:eastAsia="x-none"/>
        </w:rPr>
        <w:t xml:space="preserve">his </w:t>
      </w:r>
      <w:r w:rsidR="001F234B" w:rsidRPr="00125AE7">
        <w:rPr>
          <w:rFonts w:ascii="Cambria" w:hAnsi="Cambria"/>
          <w:lang w:eastAsia="x-none"/>
        </w:rPr>
        <w:t xml:space="preserve">trust building and education </w:t>
      </w:r>
      <w:r w:rsidR="00D479BD" w:rsidRPr="00125AE7">
        <w:rPr>
          <w:rFonts w:ascii="Cambria" w:hAnsi="Cambria"/>
          <w:lang w:eastAsia="x-none"/>
        </w:rPr>
        <w:t xml:space="preserve">process </w:t>
      </w:r>
      <w:r w:rsidR="003E4A71">
        <w:rPr>
          <w:rFonts w:ascii="Cambria" w:hAnsi="Cambria"/>
          <w:lang w:eastAsia="x-none"/>
        </w:rPr>
        <w:t xml:space="preserve">is important, but it was consuming time and </w:t>
      </w:r>
      <w:r w:rsidR="001B2265">
        <w:rPr>
          <w:rFonts w:ascii="Cambria" w:hAnsi="Cambria"/>
          <w:lang w:eastAsia="x-none"/>
        </w:rPr>
        <w:t xml:space="preserve">we were in danger of missing critical </w:t>
      </w:r>
      <w:r w:rsidR="00093A4F" w:rsidRPr="00125AE7">
        <w:rPr>
          <w:rFonts w:ascii="Cambria" w:hAnsi="Cambria"/>
          <w:lang w:eastAsia="x-none"/>
        </w:rPr>
        <w:t>opportunities</w:t>
      </w:r>
      <w:r w:rsidR="001B2265">
        <w:rPr>
          <w:rFonts w:ascii="Cambria" w:hAnsi="Cambria"/>
          <w:lang w:eastAsia="x-none"/>
        </w:rPr>
        <w:t xml:space="preserve">, </w:t>
      </w:r>
      <w:r w:rsidR="00093A4F" w:rsidRPr="00125AE7">
        <w:rPr>
          <w:rFonts w:ascii="Cambria" w:hAnsi="Cambria"/>
          <w:lang w:eastAsia="x-none"/>
        </w:rPr>
        <w:t xml:space="preserve">such as </w:t>
      </w:r>
      <w:r w:rsidR="001B2265">
        <w:rPr>
          <w:rFonts w:ascii="Cambria" w:hAnsi="Cambria"/>
          <w:lang w:eastAsia="x-none"/>
        </w:rPr>
        <w:t>the chan</w:t>
      </w:r>
      <w:r w:rsidR="009A79AB">
        <w:rPr>
          <w:rFonts w:ascii="Cambria" w:hAnsi="Cambria"/>
          <w:lang w:eastAsia="x-none"/>
        </w:rPr>
        <w:t>c</w:t>
      </w:r>
      <w:r w:rsidR="001B2265">
        <w:rPr>
          <w:rFonts w:ascii="Cambria" w:hAnsi="Cambria"/>
          <w:lang w:eastAsia="x-none"/>
        </w:rPr>
        <w:t xml:space="preserve">e to provide </w:t>
      </w:r>
      <w:r w:rsidR="00093A4F" w:rsidRPr="00125AE7">
        <w:rPr>
          <w:rFonts w:ascii="Cambria" w:hAnsi="Cambria"/>
          <w:lang w:eastAsia="x-none"/>
        </w:rPr>
        <w:t xml:space="preserve">effective guidance </w:t>
      </w:r>
      <w:r w:rsidR="001B2265">
        <w:rPr>
          <w:rFonts w:ascii="Cambria" w:hAnsi="Cambria"/>
          <w:lang w:eastAsia="x-none"/>
        </w:rPr>
        <w:t xml:space="preserve">to regulators on the </w:t>
      </w:r>
      <w:r w:rsidR="00A73619" w:rsidRPr="00125AE7">
        <w:rPr>
          <w:rFonts w:ascii="Cambria" w:hAnsi="Cambria"/>
          <w:lang w:eastAsia="x-none"/>
        </w:rPr>
        <w:t xml:space="preserve">structuring </w:t>
      </w:r>
      <w:r w:rsidR="001B2265">
        <w:rPr>
          <w:rFonts w:ascii="Cambria" w:hAnsi="Cambria"/>
          <w:lang w:eastAsia="x-none"/>
        </w:rPr>
        <w:t xml:space="preserve">of </w:t>
      </w:r>
      <w:r w:rsidR="00A73619" w:rsidRPr="00125AE7">
        <w:rPr>
          <w:rFonts w:ascii="Cambria" w:hAnsi="Cambria"/>
          <w:lang w:eastAsia="x-none"/>
        </w:rPr>
        <w:t xml:space="preserve">health insurance </w:t>
      </w:r>
      <w:r w:rsidR="00D479BD" w:rsidRPr="00125AE7">
        <w:rPr>
          <w:rFonts w:ascii="Cambria" w:hAnsi="Cambria"/>
          <w:lang w:eastAsia="x-none"/>
        </w:rPr>
        <w:t>exchanges</w:t>
      </w:r>
      <w:r w:rsidR="00093A4F" w:rsidRPr="00125AE7">
        <w:rPr>
          <w:rFonts w:ascii="Cambria" w:hAnsi="Cambria"/>
          <w:lang w:eastAsia="x-none"/>
        </w:rPr>
        <w:t xml:space="preserve">. </w:t>
      </w:r>
    </w:p>
    <w:p w14:paraId="54876502" w14:textId="77777777" w:rsidR="00AC069D" w:rsidRPr="00125AE7" w:rsidRDefault="00AC069D" w:rsidP="00125AE7">
      <w:pPr>
        <w:rPr>
          <w:rFonts w:ascii="Cambria" w:hAnsi="Cambria"/>
          <w:lang w:eastAsia="x-none"/>
        </w:rPr>
      </w:pPr>
    </w:p>
    <w:p w14:paraId="693ADF35" w14:textId="42EF968D" w:rsidR="00C35378" w:rsidRDefault="00093A4F" w:rsidP="00125AE7">
      <w:pPr>
        <w:rPr>
          <w:rFonts w:ascii="Cambria" w:hAnsi="Cambria"/>
          <w:lang w:eastAsia="x-none"/>
        </w:rPr>
      </w:pPr>
      <w:r w:rsidRPr="00125AE7">
        <w:rPr>
          <w:rFonts w:ascii="Cambria" w:hAnsi="Cambria"/>
          <w:lang w:eastAsia="x-none"/>
        </w:rPr>
        <w:t>It</w:t>
      </w:r>
      <w:r w:rsidR="00AC069D" w:rsidRPr="00125AE7">
        <w:rPr>
          <w:rFonts w:ascii="Cambria" w:hAnsi="Cambria"/>
          <w:lang w:eastAsia="x-none"/>
        </w:rPr>
        <w:t xml:space="preserve"> became clear to us that the</w:t>
      </w:r>
      <w:r w:rsidR="00A6772E" w:rsidRPr="00125AE7">
        <w:rPr>
          <w:rFonts w:ascii="Cambria" w:hAnsi="Cambria"/>
          <w:lang w:eastAsia="x-none"/>
        </w:rPr>
        <w:t xml:space="preserve"> portfolio </w:t>
      </w:r>
      <w:r w:rsidR="00AC069D" w:rsidRPr="00125AE7">
        <w:rPr>
          <w:rFonts w:ascii="Cambria" w:hAnsi="Cambria"/>
          <w:lang w:eastAsia="x-none"/>
        </w:rPr>
        <w:t xml:space="preserve">needed to </w:t>
      </w:r>
      <w:r w:rsidR="00A6772E" w:rsidRPr="00125AE7">
        <w:rPr>
          <w:rFonts w:ascii="Cambria" w:hAnsi="Cambria"/>
          <w:lang w:eastAsia="x-none"/>
        </w:rPr>
        <w:t xml:space="preserve">pivot. </w:t>
      </w:r>
      <w:r w:rsidR="00D479BD" w:rsidRPr="00125AE7">
        <w:rPr>
          <w:rFonts w:ascii="Cambria" w:hAnsi="Cambria"/>
          <w:lang w:eastAsia="x-none"/>
        </w:rPr>
        <w:t>We</w:t>
      </w:r>
      <w:r w:rsidRPr="00125AE7">
        <w:rPr>
          <w:rFonts w:ascii="Cambria" w:hAnsi="Cambria"/>
          <w:lang w:eastAsia="x-none"/>
        </w:rPr>
        <w:t xml:space="preserve"> gave </w:t>
      </w:r>
      <w:r w:rsidR="00975FDE">
        <w:rPr>
          <w:rFonts w:ascii="Cambria" w:hAnsi="Cambria"/>
          <w:lang w:eastAsia="x-none"/>
        </w:rPr>
        <w:t xml:space="preserve">the </w:t>
      </w:r>
      <w:r w:rsidRPr="00125AE7">
        <w:rPr>
          <w:rFonts w:ascii="Cambria" w:hAnsi="Cambria"/>
          <w:lang w:eastAsia="x-none"/>
        </w:rPr>
        <w:t xml:space="preserve">George Washington </w:t>
      </w:r>
      <w:r w:rsidR="00975FDE">
        <w:rPr>
          <w:rFonts w:ascii="Cambria" w:hAnsi="Cambria"/>
          <w:lang w:eastAsia="x-none"/>
        </w:rPr>
        <w:t xml:space="preserve">University </w:t>
      </w:r>
      <w:r w:rsidR="00D479BD" w:rsidRPr="00125AE7">
        <w:rPr>
          <w:rFonts w:ascii="Cambria" w:hAnsi="Cambria"/>
          <w:lang w:eastAsia="x-none"/>
        </w:rPr>
        <w:t xml:space="preserve">health policy </w:t>
      </w:r>
      <w:r w:rsidRPr="00125AE7">
        <w:rPr>
          <w:rFonts w:ascii="Cambria" w:hAnsi="Cambria"/>
          <w:lang w:eastAsia="x-none"/>
        </w:rPr>
        <w:t xml:space="preserve">group </w:t>
      </w:r>
      <w:r w:rsidR="00975FDE">
        <w:rPr>
          <w:rFonts w:ascii="Cambria" w:hAnsi="Cambria"/>
          <w:lang w:eastAsia="x-none"/>
        </w:rPr>
        <w:t>(GW)</w:t>
      </w:r>
      <w:r w:rsidR="009A79AB">
        <w:rPr>
          <w:rFonts w:ascii="Cambria" w:hAnsi="Cambria"/>
          <w:lang w:eastAsia="x-none"/>
        </w:rPr>
        <w:t xml:space="preserve"> </w:t>
      </w:r>
      <w:r w:rsidRPr="00125AE7">
        <w:rPr>
          <w:rFonts w:ascii="Cambria" w:hAnsi="Cambria"/>
          <w:lang w:eastAsia="x-none"/>
        </w:rPr>
        <w:t>a grant to assist</w:t>
      </w:r>
      <w:r w:rsidR="00A35E31" w:rsidRPr="00125AE7">
        <w:rPr>
          <w:rFonts w:ascii="Cambria" w:hAnsi="Cambria"/>
          <w:lang w:eastAsia="x-none"/>
        </w:rPr>
        <w:t xml:space="preserve"> </w:t>
      </w:r>
      <w:r w:rsidR="001F234B" w:rsidRPr="00125AE7">
        <w:rPr>
          <w:rFonts w:ascii="Cambria" w:hAnsi="Cambria"/>
          <w:lang w:eastAsia="x-none"/>
        </w:rPr>
        <w:t xml:space="preserve">SUD groups and the Coalition </w:t>
      </w:r>
      <w:r w:rsidR="00D479BD" w:rsidRPr="00125AE7">
        <w:rPr>
          <w:rFonts w:ascii="Cambria" w:hAnsi="Cambria"/>
          <w:lang w:eastAsia="x-none"/>
        </w:rPr>
        <w:t xml:space="preserve">for </w:t>
      </w:r>
      <w:r w:rsidR="001F234B" w:rsidRPr="00125AE7">
        <w:rPr>
          <w:rFonts w:ascii="Cambria" w:hAnsi="Cambria"/>
          <w:lang w:eastAsia="x-none"/>
        </w:rPr>
        <w:t xml:space="preserve">Whole </w:t>
      </w:r>
      <w:r w:rsidR="00D479BD" w:rsidRPr="00125AE7">
        <w:rPr>
          <w:rFonts w:ascii="Cambria" w:hAnsi="Cambria"/>
          <w:lang w:eastAsia="x-none"/>
        </w:rPr>
        <w:t>Health</w:t>
      </w:r>
      <w:r w:rsidR="00975FDE">
        <w:rPr>
          <w:rFonts w:ascii="Cambria" w:hAnsi="Cambria"/>
          <w:lang w:eastAsia="x-none"/>
        </w:rPr>
        <w:t xml:space="preserve"> in drafting </w:t>
      </w:r>
      <w:r w:rsidR="00D479BD" w:rsidRPr="00125AE7">
        <w:rPr>
          <w:rFonts w:ascii="Cambria" w:hAnsi="Cambria"/>
          <w:lang w:eastAsia="x-none"/>
        </w:rPr>
        <w:t xml:space="preserve">comments for key regulations and to </w:t>
      </w:r>
      <w:r w:rsidR="00E96DA9" w:rsidRPr="00125AE7">
        <w:rPr>
          <w:rFonts w:ascii="Cambria" w:hAnsi="Cambria"/>
          <w:lang w:eastAsia="x-none"/>
        </w:rPr>
        <w:t>introduce coalition</w:t>
      </w:r>
      <w:r w:rsidR="00D479BD" w:rsidRPr="00125AE7">
        <w:rPr>
          <w:rFonts w:ascii="Cambria" w:hAnsi="Cambria"/>
          <w:lang w:eastAsia="x-none"/>
        </w:rPr>
        <w:t xml:space="preserve"> leadership to </w:t>
      </w:r>
      <w:r w:rsidR="009A79AB">
        <w:rPr>
          <w:rFonts w:ascii="Cambria" w:hAnsi="Cambria"/>
          <w:lang w:eastAsia="x-none"/>
        </w:rPr>
        <w:t>important</w:t>
      </w:r>
      <w:r w:rsidR="009A79AB" w:rsidRPr="00125AE7">
        <w:rPr>
          <w:rFonts w:ascii="Cambria" w:hAnsi="Cambria"/>
          <w:lang w:eastAsia="x-none"/>
        </w:rPr>
        <w:t xml:space="preserve"> </w:t>
      </w:r>
      <w:r w:rsidR="00D479BD" w:rsidRPr="00125AE7">
        <w:rPr>
          <w:rFonts w:ascii="Cambria" w:hAnsi="Cambria"/>
          <w:lang w:eastAsia="x-none"/>
        </w:rPr>
        <w:t xml:space="preserve">Health and Human </w:t>
      </w:r>
      <w:r w:rsidR="007C05E9">
        <w:rPr>
          <w:rFonts w:ascii="Cambria" w:hAnsi="Cambria"/>
          <w:lang w:eastAsia="x-none"/>
        </w:rPr>
        <w:t xml:space="preserve">Services </w:t>
      </w:r>
      <w:r w:rsidR="00D479BD" w:rsidRPr="00125AE7">
        <w:rPr>
          <w:rFonts w:ascii="Cambria" w:hAnsi="Cambria"/>
          <w:lang w:eastAsia="x-none"/>
        </w:rPr>
        <w:t xml:space="preserve">decision makers. </w:t>
      </w:r>
      <w:r w:rsidR="00E44B8D" w:rsidRPr="00125AE7">
        <w:rPr>
          <w:rFonts w:ascii="Cambria" w:hAnsi="Cambria"/>
          <w:lang w:eastAsia="x-none"/>
        </w:rPr>
        <w:t>The Coalition for Whole Health is a group of SUD and Mental Health advocates who</w:t>
      </w:r>
      <w:r w:rsidR="009A79AB">
        <w:rPr>
          <w:rFonts w:ascii="Cambria" w:hAnsi="Cambria"/>
          <w:lang w:eastAsia="x-none"/>
        </w:rPr>
        <w:t xml:space="preserve">se purpose is to </w:t>
      </w:r>
      <w:r w:rsidR="00E44B8D" w:rsidRPr="00125AE7">
        <w:rPr>
          <w:rFonts w:ascii="Cambria" w:hAnsi="Cambria"/>
          <w:lang w:eastAsia="x-none"/>
        </w:rPr>
        <w:t xml:space="preserve">ensure </w:t>
      </w:r>
      <w:r w:rsidR="009A79AB">
        <w:rPr>
          <w:rFonts w:ascii="Cambria" w:hAnsi="Cambria"/>
          <w:lang w:eastAsia="x-none"/>
        </w:rPr>
        <w:t xml:space="preserve">that </w:t>
      </w:r>
      <w:r w:rsidR="00E44B8D" w:rsidRPr="00125AE7">
        <w:rPr>
          <w:rFonts w:ascii="Cambria" w:hAnsi="Cambria"/>
          <w:lang w:eastAsia="x-none"/>
        </w:rPr>
        <w:t xml:space="preserve">health care reform provides </w:t>
      </w:r>
      <w:r w:rsidR="009A79AB">
        <w:rPr>
          <w:rFonts w:ascii="Cambria" w:hAnsi="Cambria"/>
          <w:lang w:eastAsia="x-none"/>
        </w:rPr>
        <w:t xml:space="preserve">full and quality </w:t>
      </w:r>
      <w:r w:rsidR="00E44B8D" w:rsidRPr="00125AE7">
        <w:rPr>
          <w:rFonts w:ascii="Cambria" w:hAnsi="Cambria"/>
          <w:lang w:eastAsia="x-none"/>
        </w:rPr>
        <w:t>access to behavioral health services. It is staffed by Legal Action Center</w:t>
      </w:r>
      <w:r w:rsidR="009A79AB">
        <w:rPr>
          <w:rFonts w:ascii="Cambria" w:hAnsi="Cambria"/>
          <w:lang w:eastAsia="x-none"/>
        </w:rPr>
        <w:t>,</w:t>
      </w:r>
      <w:r w:rsidR="00E44B8D" w:rsidRPr="00125AE7">
        <w:rPr>
          <w:rFonts w:ascii="Cambria" w:hAnsi="Cambria"/>
          <w:lang w:eastAsia="x-none"/>
        </w:rPr>
        <w:t xml:space="preserve"> which runs the </w:t>
      </w:r>
      <w:r w:rsidR="00E96DA9" w:rsidRPr="00125AE7">
        <w:rPr>
          <w:rFonts w:ascii="Cambria" w:hAnsi="Cambria"/>
          <w:lang w:eastAsia="x-none"/>
        </w:rPr>
        <w:t>meetings</w:t>
      </w:r>
      <w:r w:rsidR="00E44B8D" w:rsidRPr="00125AE7">
        <w:rPr>
          <w:rFonts w:ascii="Cambria" w:hAnsi="Cambria"/>
          <w:lang w:eastAsia="x-none"/>
        </w:rPr>
        <w:t xml:space="preserve">, </w:t>
      </w:r>
      <w:r w:rsidR="00975FDE">
        <w:rPr>
          <w:rFonts w:ascii="Cambria" w:hAnsi="Cambria"/>
          <w:lang w:eastAsia="x-none"/>
        </w:rPr>
        <w:t>sets the</w:t>
      </w:r>
      <w:r w:rsidR="00E44B8D" w:rsidRPr="00125AE7">
        <w:rPr>
          <w:rFonts w:ascii="Cambria" w:hAnsi="Cambria"/>
          <w:lang w:eastAsia="x-none"/>
        </w:rPr>
        <w:t xml:space="preserve"> agendas and </w:t>
      </w:r>
      <w:r w:rsidR="00975FDE">
        <w:rPr>
          <w:rFonts w:ascii="Cambria" w:hAnsi="Cambria"/>
          <w:lang w:eastAsia="x-none"/>
        </w:rPr>
        <w:t>issues regulatory</w:t>
      </w:r>
      <w:r w:rsidR="00E44B8D" w:rsidRPr="00125AE7">
        <w:rPr>
          <w:rFonts w:ascii="Cambria" w:hAnsi="Cambria"/>
          <w:lang w:eastAsia="x-none"/>
        </w:rPr>
        <w:t xml:space="preserve"> comments in the name of the Coalition.  </w:t>
      </w:r>
      <w:r w:rsidR="00C35378">
        <w:rPr>
          <w:rFonts w:ascii="Cambria" w:hAnsi="Cambria"/>
          <w:lang w:eastAsia="x-none"/>
        </w:rPr>
        <w:t xml:space="preserve">This provision of clearly needed assistance </w:t>
      </w:r>
      <w:r w:rsidR="009A79AB">
        <w:rPr>
          <w:rFonts w:ascii="Cambria" w:hAnsi="Cambria"/>
          <w:lang w:eastAsia="x-none"/>
        </w:rPr>
        <w:t xml:space="preserve">by GW </w:t>
      </w:r>
      <w:r w:rsidR="00C35378">
        <w:rPr>
          <w:rFonts w:ascii="Cambria" w:hAnsi="Cambria"/>
          <w:lang w:eastAsia="x-none"/>
        </w:rPr>
        <w:t>was not received well by the Coalition –</w:t>
      </w:r>
      <w:r w:rsidR="00E44B8D" w:rsidRPr="00125AE7">
        <w:rPr>
          <w:rFonts w:ascii="Cambria" w:hAnsi="Cambria"/>
          <w:lang w:eastAsia="x-none"/>
        </w:rPr>
        <w:t xml:space="preserve"> particularly SUD advocates</w:t>
      </w:r>
      <w:r w:rsidR="00C35378">
        <w:rPr>
          <w:rFonts w:ascii="Cambria" w:hAnsi="Cambria"/>
          <w:lang w:eastAsia="x-none"/>
        </w:rPr>
        <w:t>, who appeared to feel</w:t>
      </w:r>
      <w:r w:rsidRPr="00125AE7">
        <w:rPr>
          <w:rFonts w:ascii="Cambria" w:hAnsi="Cambria"/>
          <w:lang w:eastAsia="x-none"/>
        </w:rPr>
        <w:t xml:space="preserve"> threatened and found creative ways to avoid meeting</w:t>
      </w:r>
      <w:r w:rsidR="00D479BD" w:rsidRPr="00125AE7">
        <w:rPr>
          <w:rFonts w:ascii="Cambria" w:hAnsi="Cambria"/>
          <w:lang w:eastAsia="x-none"/>
        </w:rPr>
        <w:t xml:space="preserve"> with </w:t>
      </w:r>
      <w:r w:rsidR="0084118A">
        <w:rPr>
          <w:rFonts w:ascii="Cambria" w:hAnsi="Cambria"/>
          <w:lang w:eastAsia="x-none"/>
        </w:rPr>
        <w:t>o</w:t>
      </w:r>
      <w:r w:rsidR="00C35378">
        <w:rPr>
          <w:rFonts w:ascii="Cambria" w:hAnsi="Cambria"/>
          <w:lang w:eastAsia="x-none"/>
        </w:rPr>
        <w:t xml:space="preserve">r using </w:t>
      </w:r>
      <w:r w:rsidR="0084118A">
        <w:rPr>
          <w:rFonts w:ascii="Cambria" w:hAnsi="Cambria"/>
          <w:lang w:eastAsia="x-none"/>
        </w:rPr>
        <w:t>work produced by GW</w:t>
      </w:r>
      <w:r w:rsidRPr="00125AE7">
        <w:rPr>
          <w:rFonts w:ascii="Cambria" w:hAnsi="Cambria"/>
          <w:lang w:eastAsia="x-none"/>
        </w:rPr>
        <w:t xml:space="preserve">. </w:t>
      </w:r>
    </w:p>
    <w:p w14:paraId="1291DA29" w14:textId="77777777" w:rsidR="00C35378" w:rsidRDefault="00C35378" w:rsidP="00125AE7">
      <w:pPr>
        <w:rPr>
          <w:rFonts w:ascii="Cambria" w:hAnsi="Cambria"/>
          <w:lang w:eastAsia="x-none"/>
        </w:rPr>
      </w:pPr>
    </w:p>
    <w:p w14:paraId="006B0B93" w14:textId="77777777" w:rsidR="0084118A" w:rsidRDefault="00A35E31" w:rsidP="00125AE7">
      <w:pPr>
        <w:rPr>
          <w:rFonts w:ascii="Cambria" w:hAnsi="Cambria"/>
          <w:lang w:eastAsia="x-none"/>
        </w:rPr>
      </w:pPr>
      <w:r w:rsidRPr="00125AE7">
        <w:rPr>
          <w:rFonts w:ascii="Cambria" w:hAnsi="Cambria"/>
          <w:lang w:eastAsia="x-none"/>
        </w:rPr>
        <w:t>CNDP</w:t>
      </w:r>
      <w:r w:rsidR="00A6772E" w:rsidRPr="00125AE7">
        <w:rPr>
          <w:rFonts w:ascii="Cambria" w:hAnsi="Cambria"/>
          <w:lang w:eastAsia="x-none"/>
        </w:rPr>
        <w:t xml:space="preserve"> </w:t>
      </w:r>
      <w:r w:rsidR="00D479BD" w:rsidRPr="00125AE7">
        <w:rPr>
          <w:rFonts w:ascii="Cambria" w:hAnsi="Cambria"/>
          <w:lang w:eastAsia="x-none"/>
        </w:rPr>
        <w:t>continue</w:t>
      </w:r>
      <w:r w:rsidR="0084118A">
        <w:rPr>
          <w:rFonts w:ascii="Cambria" w:hAnsi="Cambria"/>
          <w:lang w:eastAsia="x-none"/>
        </w:rPr>
        <w:t>d</w:t>
      </w:r>
      <w:r w:rsidR="00D479BD" w:rsidRPr="00125AE7">
        <w:rPr>
          <w:rFonts w:ascii="Cambria" w:hAnsi="Cambria"/>
          <w:lang w:eastAsia="x-none"/>
        </w:rPr>
        <w:t xml:space="preserve"> </w:t>
      </w:r>
      <w:r w:rsidR="00A6772E" w:rsidRPr="00125AE7">
        <w:rPr>
          <w:rFonts w:ascii="Cambria" w:hAnsi="Cambria"/>
          <w:lang w:eastAsia="x-none"/>
        </w:rPr>
        <w:t xml:space="preserve">to provide funding to </w:t>
      </w:r>
      <w:r w:rsidR="00D479BD" w:rsidRPr="00125AE7">
        <w:rPr>
          <w:rFonts w:ascii="Cambria" w:hAnsi="Cambria"/>
          <w:lang w:eastAsia="x-none"/>
        </w:rPr>
        <w:t>the</w:t>
      </w:r>
      <w:r w:rsidR="0084118A">
        <w:rPr>
          <w:rFonts w:ascii="Cambria" w:hAnsi="Cambria"/>
          <w:lang w:eastAsia="x-none"/>
        </w:rPr>
        <w:t>se</w:t>
      </w:r>
      <w:r w:rsidR="00D479BD" w:rsidRPr="00125AE7">
        <w:rPr>
          <w:rFonts w:ascii="Cambria" w:hAnsi="Cambria"/>
          <w:lang w:eastAsia="x-none"/>
        </w:rPr>
        <w:t xml:space="preserve"> </w:t>
      </w:r>
      <w:r w:rsidR="00A6772E" w:rsidRPr="00125AE7">
        <w:rPr>
          <w:rFonts w:ascii="Cambria" w:hAnsi="Cambria"/>
          <w:lang w:eastAsia="x-none"/>
        </w:rPr>
        <w:t xml:space="preserve">existing advocates to help them </w:t>
      </w:r>
      <w:r w:rsidR="0084118A">
        <w:rPr>
          <w:rFonts w:ascii="Cambria" w:hAnsi="Cambria"/>
          <w:lang w:eastAsia="x-none"/>
        </w:rPr>
        <w:t xml:space="preserve">maintain </w:t>
      </w:r>
      <w:r w:rsidR="00A6772E" w:rsidRPr="00125AE7">
        <w:rPr>
          <w:rFonts w:ascii="Cambria" w:hAnsi="Cambria"/>
          <w:lang w:eastAsia="x-none"/>
        </w:rPr>
        <w:t>their advocacy ca</w:t>
      </w:r>
      <w:r w:rsidR="00AC069D" w:rsidRPr="00125AE7">
        <w:rPr>
          <w:rFonts w:ascii="Cambria" w:hAnsi="Cambria"/>
          <w:lang w:eastAsia="x-none"/>
        </w:rPr>
        <w:t xml:space="preserve">pacity (excluding </w:t>
      </w:r>
      <w:r w:rsidR="00A6772E" w:rsidRPr="00125AE7">
        <w:rPr>
          <w:rFonts w:ascii="Cambria" w:hAnsi="Cambria"/>
          <w:lang w:eastAsia="x-none"/>
        </w:rPr>
        <w:t xml:space="preserve">completely ineffective </w:t>
      </w:r>
      <w:r w:rsidR="00AC069D" w:rsidRPr="00125AE7">
        <w:rPr>
          <w:rFonts w:ascii="Cambria" w:hAnsi="Cambria"/>
          <w:lang w:eastAsia="x-none"/>
        </w:rPr>
        <w:t xml:space="preserve">grantees, </w:t>
      </w:r>
      <w:r w:rsidR="00A6772E" w:rsidRPr="00125AE7">
        <w:rPr>
          <w:rFonts w:ascii="Cambria" w:hAnsi="Cambria"/>
          <w:lang w:eastAsia="x-none"/>
        </w:rPr>
        <w:t>such as SAAS</w:t>
      </w:r>
      <w:r w:rsidR="00AC069D" w:rsidRPr="00125AE7">
        <w:rPr>
          <w:rFonts w:ascii="Cambria" w:hAnsi="Cambria"/>
          <w:lang w:eastAsia="x-none"/>
        </w:rPr>
        <w:t>)</w:t>
      </w:r>
      <w:r w:rsidR="0084118A">
        <w:rPr>
          <w:rFonts w:ascii="Cambria" w:hAnsi="Cambria"/>
          <w:lang w:eastAsia="x-none"/>
        </w:rPr>
        <w:t xml:space="preserve">, but </w:t>
      </w:r>
      <w:r w:rsidR="00187F30">
        <w:rPr>
          <w:rFonts w:ascii="Cambria" w:hAnsi="Cambria"/>
          <w:lang w:eastAsia="x-none"/>
        </w:rPr>
        <w:t>with</w:t>
      </w:r>
      <w:r w:rsidR="0084118A">
        <w:rPr>
          <w:rFonts w:ascii="Cambria" w:hAnsi="Cambria"/>
          <w:lang w:eastAsia="x-none"/>
        </w:rPr>
        <w:t xml:space="preserve"> smaller </w:t>
      </w:r>
      <w:r w:rsidR="00187F30">
        <w:rPr>
          <w:rFonts w:ascii="Cambria" w:hAnsi="Cambria"/>
          <w:lang w:eastAsia="x-none"/>
        </w:rPr>
        <w:t>grant</w:t>
      </w:r>
      <w:r w:rsidR="0084118A">
        <w:rPr>
          <w:rFonts w:ascii="Cambria" w:hAnsi="Cambria"/>
          <w:lang w:eastAsia="x-none"/>
        </w:rPr>
        <w:t>s.</w:t>
      </w:r>
      <w:r w:rsidR="00AC069D" w:rsidRPr="00125AE7">
        <w:rPr>
          <w:rFonts w:ascii="Cambria" w:hAnsi="Cambria"/>
          <w:lang w:eastAsia="x-none"/>
        </w:rPr>
        <w:t xml:space="preserve">  </w:t>
      </w:r>
      <w:r w:rsidR="0084118A">
        <w:rPr>
          <w:rFonts w:ascii="Cambria" w:hAnsi="Cambria"/>
          <w:lang w:eastAsia="x-none"/>
        </w:rPr>
        <w:t xml:space="preserve">Rather than rely exclusively </w:t>
      </w:r>
      <w:r w:rsidR="00E41055">
        <w:rPr>
          <w:rFonts w:ascii="Cambria" w:hAnsi="Cambria"/>
          <w:lang w:eastAsia="x-none"/>
        </w:rPr>
        <w:t xml:space="preserve">on </w:t>
      </w:r>
      <w:r w:rsidR="0084118A">
        <w:rPr>
          <w:rFonts w:ascii="Cambria" w:hAnsi="Cambria"/>
          <w:lang w:eastAsia="x-none"/>
        </w:rPr>
        <w:t xml:space="preserve">these grantees, we </w:t>
      </w:r>
      <w:r w:rsidR="00AC069D" w:rsidRPr="00125AE7">
        <w:rPr>
          <w:rFonts w:ascii="Cambria" w:hAnsi="Cambria"/>
          <w:lang w:eastAsia="x-none"/>
        </w:rPr>
        <w:t xml:space="preserve">began </w:t>
      </w:r>
      <w:r w:rsidR="00093A4F" w:rsidRPr="00125AE7">
        <w:rPr>
          <w:rFonts w:ascii="Cambria" w:hAnsi="Cambria"/>
          <w:lang w:eastAsia="x-none"/>
        </w:rPr>
        <w:t>funding</w:t>
      </w:r>
      <w:r w:rsidR="00D479BD" w:rsidRPr="00125AE7">
        <w:rPr>
          <w:rFonts w:ascii="Cambria" w:hAnsi="Cambria"/>
          <w:lang w:eastAsia="x-none"/>
        </w:rPr>
        <w:t xml:space="preserve"> and introducing our SUD work to</w:t>
      </w:r>
      <w:r w:rsidR="00A6772E" w:rsidRPr="00125AE7">
        <w:rPr>
          <w:rFonts w:ascii="Cambria" w:hAnsi="Cambria"/>
          <w:lang w:eastAsia="x-none"/>
        </w:rPr>
        <w:t xml:space="preserve"> effective non-SUD focused health care groups </w:t>
      </w:r>
      <w:r w:rsidR="00AC069D" w:rsidRPr="00125AE7">
        <w:rPr>
          <w:rFonts w:ascii="Cambria" w:hAnsi="Cambria"/>
          <w:lang w:eastAsia="x-none"/>
        </w:rPr>
        <w:t>that</w:t>
      </w:r>
      <w:r w:rsidR="00A6772E" w:rsidRPr="00125AE7">
        <w:rPr>
          <w:rFonts w:ascii="Cambria" w:hAnsi="Cambria"/>
          <w:lang w:eastAsia="x-none"/>
        </w:rPr>
        <w:t xml:space="preserve"> were </w:t>
      </w:r>
      <w:r w:rsidR="00AC069D" w:rsidRPr="00125AE7">
        <w:rPr>
          <w:rFonts w:ascii="Cambria" w:hAnsi="Cambria"/>
          <w:lang w:eastAsia="x-none"/>
        </w:rPr>
        <w:t xml:space="preserve">capable of </w:t>
      </w:r>
      <w:r w:rsidR="00A6772E" w:rsidRPr="00125AE7">
        <w:rPr>
          <w:rFonts w:ascii="Cambria" w:hAnsi="Cambria"/>
          <w:lang w:eastAsia="x-none"/>
        </w:rPr>
        <w:t>effecting immediate change with policymakers and to build a more diverse field of health groups calling for community based SUD services.</w:t>
      </w:r>
      <w:r w:rsidR="00E776B0" w:rsidRPr="00125AE7">
        <w:rPr>
          <w:rFonts w:ascii="Cambria" w:hAnsi="Cambria"/>
          <w:lang w:eastAsia="x-none"/>
        </w:rPr>
        <w:t xml:space="preserve"> </w:t>
      </w:r>
      <w:r w:rsidR="00D479BD" w:rsidRPr="00125AE7">
        <w:rPr>
          <w:rFonts w:ascii="Cambria" w:hAnsi="Cambria"/>
          <w:lang w:eastAsia="x-none"/>
        </w:rPr>
        <w:t xml:space="preserve">The primary grantee </w:t>
      </w:r>
      <w:r w:rsidR="0084118A">
        <w:rPr>
          <w:rFonts w:ascii="Cambria" w:hAnsi="Cambria"/>
          <w:lang w:eastAsia="x-none"/>
        </w:rPr>
        <w:t xml:space="preserve">in this grouping </w:t>
      </w:r>
      <w:r w:rsidR="00D479BD" w:rsidRPr="00125AE7">
        <w:rPr>
          <w:rFonts w:ascii="Cambria" w:hAnsi="Cambria"/>
          <w:lang w:eastAsia="x-none"/>
        </w:rPr>
        <w:t>was</w:t>
      </w:r>
      <w:r w:rsidR="00E776B0" w:rsidRPr="00125AE7">
        <w:rPr>
          <w:rFonts w:ascii="Cambria" w:hAnsi="Cambria"/>
          <w:lang w:eastAsia="x-none"/>
        </w:rPr>
        <w:t xml:space="preserve"> Community Catalyst</w:t>
      </w:r>
      <w:r w:rsidR="00D479BD" w:rsidRPr="00125AE7">
        <w:rPr>
          <w:rFonts w:ascii="Cambria" w:hAnsi="Cambria"/>
          <w:lang w:eastAsia="x-none"/>
        </w:rPr>
        <w:t xml:space="preserve">, which </w:t>
      </w:r>
      <w:r w:rsidR="00E776B0" w:rsidRPr="00125AE7">
        <w:rPr>
          <w:rFonts w:ascii="Cambria" w:hAnsi="Cambria"/>
          <w:lang w:eastAsia="x-none"/>
        </w:rPr>
        <w:t xml:space="preserve">had strong executive branch relationships </w:t>
      </w:r>
      <w:r w:rsidR="00D479BD" w:rsidRPr="00125AE7">
        <w:rPr>
          <w:rFonts w:ascii="Cambria" w:hAnsi="Cambria"/>
          <w:lang w:eastAsia="x-none"/>
        </w:rPr>
        <w:t>and a strong</w:t>
      </w:r>
      <w:r w:rsidR="00E776B0" w:rsidRPr="00125AE7">
        <w:rPr>
          <w:rFonts w:ascii="Cambria" w:hAnsi="Cambria"/>
          <w:lang w:eastAsia="x-none"/>
        </w:rPr>
        <w:t xml:space="preserve"> network of </w:t>
      </w:r>
      <w:r w:rsidR="0026396B">
        <w:rPr>
          <w:rFonts w:ascii="Cambria" w:hAnsi="Cambria"/>
          <w:lang w:eastAsia="x-none"/>
        </w:rPr>
        <w:t>capable</w:t>
      </w:r>
      <w:r w:rsidR="0026396B" w:rsidRPr="00125AE7">
        <w:rPr>
          <w:rFonts w:ascii="Cambria" w:hAnsi="Cambria"/>
          <w:lang w:eastAsia="x-none"/>
        </w:rPr>
        <w:t xml:space="preserve"> </w:t>
      </w:r>
      <w:r w:rsidR="00E776B0" w:rsidRPr="00125AE7">
        <w:rPr>
          <w:rFonts w:ascii="Cambria" w:hAnsi="Cambria"/>
          <w:lang w:eastAsia="x-none"/>
        </w:rPr>
        <w:t>state affiliates.</w:t>
      </w:r>
      <w:r w:rsidR="00D479BD" w:rsidRPr="00125AE7">
        <w:rPr>
          <w:rFonts w:ascii="Cambria" w:hAnsi="Cambria"/>
          <w:lang w:eastAsia="x-none"/>
        </w:rPr>
        <w:t xml:space="preserve"> </w:t>
      </w:r>
    </w:p>
    <w:p w14:paraId="25A7AE1E" w14:textId="77777777" w:rsidR="0084118A" w:rsidRDefault="0084118A" w:rsidP="00125AE7">
      <w:pPr>
        <w:rPr>
          <w:rFonts w:ascii="Cambria" w:hAnsi="Cambria"/>
          <w:lang w:eastAsia="x-none"/>
        </w:rPr>
      </w:pPr>
    </w:p>
    <w:p w14:paraId="2CCF72B8" w14:textId="43A5FA96" w:rsidR="00A6772E" w:rsidRPr="00125AE7" w:rsidRDefault="00A35E31" w:rsidP="00125AE7">
      <w:pPr>
        <w:rPr>
          <w:rFonts w:ascii="Cambria" w:hAnsi="Cambria"/>
          <w:lang w:eastAsia="x-none"/>
        </w:rPr>
      </w:pPr>
      <w:r w:rsidRPr="00125AE7">
        <w:rPr>
          <w:rFonts w:ascii="Cambria" w:hAnsi="Cambria"/>
          <w:lang w:eastAsia="x-none"/>
        </w:rPr>
        <w:t>Though early</w:t>
      </w:r>
      <w:r w:rsidR="00E44B8D" w:rsidRPr="00125AE7">
        <w:rPr>
          <w:rFonts w:ascii="Cambria" w:hAnsi="Cambria"/>
          <w:lang w:eastAsia="x-none"/>
        </w:rPr>
        <w:t xml:space="preserve"> </w:t>
      </w:r>
      <w:r w:rsidRPr="00125AE7">
        <w:rPr>
          <w:rFonts w:ascii="Cambria" w:hAnsi="Cambria"/>
          <w:lang w:eastAsia="x-none"/>
        </w:rPr>
        <w:t xml:space="preserve">grants </w:t>
      </w:r>
      <w:r w:rsidR="00E33481" w:rsidRPr="00247CC5">
        <w:rPr>
          <w:rFonts w:ascii="Cambria" w:hAnsi="Cambria"/>
          <w:lang w:eastAsia="x-none"/>
        </w:rPr>
        <w:t>(2010-2012)</w:t>
      </w:r>
      <w:r w:rsidR="00E33481">
        <w:rPr>
          <w:rFonts w:ascii="Cambria" w:hAnsi="Cambria"/>
          <w:lang w:eastAsia="x-none"/>
        </w:rPr>
        <w:t xml:space="preserve"> </w:t>
      </w:r>
      <w:r w:rsidRPr="00125AE7">
        <w:rPr>
          <w:rFonts w:ascii="Cambria" w:hAnsi="Cambria"/>
          <w:lang w:eastAsia="x-none"/>
        </w:rPr>
        <w:t>were less effective</w:t>
      </w:r>
      <w:r w:rsidR="00F852EC" w:rsidRPr="00125AE7">
        <w:rPr>
          <w:rFonts w:ascii="Cambria" w:hAnsi="Cambria"/>
          <w:lang w:eastAsia="x-none"/>
        </w:rPr>
        <w:t xml:space="preserve"> </w:t>
      </w:r>
      <w:r w:rsidRPr="00125AE7">
        <w:rPr>
          <w:rFonts w:ascii="Cambria" w:hAnsi="Cambria"/>
          <w:lang w:eastAsia="x-none"/>
        </w:rPr>
        <w:t xml:space="preserve">than hoped and the field </w:t>
      </w:r>
      <w:r w:rsidR="00AE6DC0">
        <w:rPr>
          <w:rFonts w:ascii="Cambria" w:hAnsi="Cambria"/>
          <w:lang w:eastAsia="x-none"/>
        </w:rPr>
        <w:t>missed</w:t>
      </w:r>
      <w:r w:rsidR="00AE6DC0" w:rsidRPr="00125AE7">
        <w:rPr>
          <w:rFonts w:ascii="Cambria" w:hAnsi="Cambria"/>
          <w:lang w:eastAsia="x-none"/>
        </w:rPr>
        <w:t xml:space="preserve"> </w:t>
      </w:r>
      <w:r w:rsidRPr="00125AE7">
        <w:rPr>
          <w:rFonts w:ascii="Cambria" w:hAnsi="Cambria"/>
          <w:lang w:eastAsia="x-none"/>
        </w:rPr>
        <w:t xml:space="preserve">opportunities to </w:t>
      </w:r>
      <w:r w:rsidR="00E33481">
        <w:rPr>
          <w:rFonts w:ascii="Cambria" w:hAnsi="Cambria"/>
          <w:lang w:eastAsia="x-none"/>
        </w:rPr>
        <w:t>influence</w:t>
      </w:r>
      <w:r w:rsidR="00E33481" w:rsidRPr="00125AE7">
        <w:rPr>
          <w:rFonts w:ascii="Cambria" w:hAnsi="Cambria"/>
          <w:lang w:eastAsia="x-none"/>
        </w:rPr>
        <w:t xml:space="preserve"> </w:t>
      </w:r>
      <w:r w:rsidR="00E33481">
        <w:rPr>
          <w:rFonts w:ascii="Cambria" w:hAnsi="Cambria"/>
          <w:lang w:eastAsia="x-none"/>
        </w:rPr>
        <w:t xml:space="preserve">important components of ACA implementation, such as </w:t>
      </w:r>
      <w:r w:rsidRPr="00125AE7">
        <w:rPr>
          <w:rFonts w:ascii="Cambria" w:hAnsi="Cambria"/>
          <w:lang w:eastAsia="x-none"/>
        </w:rPr>
        <w:t>exchanges and navigators</w:t>
      </w:r>
      <w:r w:rsidR="00F852EC" w:rsidRPr="00125AE7">
        <w:rPr>
          <w:rFonts w:ascii="Cambria" w:hAnsi="Cambria"/>
          <w:lang w:eastAsia="x-none"/>
        </w:rPr>
        <w:t>, w</w:t>
      </w:r>
      <w:r w:rsidRPr="00125AE7">
        <w:rPr>
          <w:rFonts w:ascii="Cambria" w:hAnsi="Cambria"/>
          <w:lang w:eastAsia="x-none"/>
        </w:rPr>
        <w:t xml:space="preserve">e </w:t>
      </w:r>
      <w:r w:rsidR="001F234B" w:rsidRPr="00125AE7">
        <w:rPr>
          <w:rFonts w:ascii="Cambria" w:hAnsi="Cambria"/>
          <w:lang w:eastAsia="x-none"/>
        </w:rPr>
        <w:t>would have lost even more opportunities</w:t>
      </w:r>
      <w:r w:rsidRPr="00125AE7">
        <w:rPr>
          <w:rFonts w:ascii="Cambria" w:hAnsi="Cambria"/>
          <w:lang w:eastAsia="x-none"/>
        </w:rPr>
        <w:t xml:space="preserve"> without the pivot</w:t>
      </w:r>
      <w:r w:rsidR="001F234B" w:rsidRPr="00125AE7">
        <w:rPr>
          <w:rFonts w:ascii="Cambria" w:hAnsi="Cambria"/>
          <w:lang w:eastAsia="x-none"/>
        </w:rPr>
        <w:t xml:space="preserve">. </w:t>
      </w:r>
      <w:r w:rsidR="00AC069D" w:rsidRPr="00125AE7">
        <w:rPr>
          <w:rFonts w:ascii="Cambria" w:hAnsi="Cambria"/>
          <w:lang w:eastAsia="x-none"/>
        </w:rPr>
        <w:t xml:space="preserve">This transition in CNDP’s grantmaking required </w:t>
      </w:r>
      <w:r w:rsidR="00B3612A" w:rsidRPr="00125AE7">
        <w:rPr>
          <w:rFonts w:ascii="Cambria" w:hAnsi="Cambria"/>
          <w:lang w:eastAsia="x-none"/>
        </w:rPr>
        <w:t>an</w:t>
      </w:r>
      <w:r w:rsidR="00A6772E" w:rsidRPr="00125AE7">
        <w:rPr>
          <w:rFonts w:ascii="Cambria" w:hAnsi="Cambria"/>
          <w:lang w:eastAsia="x-none"/>
        </w:rPr>
        <w:t xml:space="preserve"> enormous </w:t>
      </w:r>
      <w:r w:rsidR="00AC069D" w:rsidRPr="00125AE7">
        <w:rPr>
          <w:rFonts w:ascii="Cambria" w:hAnsi="Cambria"/>
          <w:lang w:eastAsia="x-none"/>
        </w:rPr>
        <w:t xml:space="preserve">programmatic commitment of campaign </w:t>
      </w:r>
      <w:r w:rsidR="00A6772E" w:rsidRPr="00125AE7">
        <w:rPr>
          <w:rFonts w:ascii="Cambria" w:hAnsi="Cambria"/>
          <w:lang w:eastAsia="x-none"/>
        </w:rPr>
        <w:t xml:space="preserve">staff time </w:t>
      </w:r>
      <w:r w:rsidR="00AC069D" w:rsidRPr="00125AE7">
        <w:rPr>
          <w:rFonts w:ascii="Cambria" w:hAnsi="Cambria"/>
          <w:lang w:eastAsia="x-none"/>
        </w:rPr>
        <w:t>to (a) bring mainstream</w:t>
      </w:r>
      <w:r w:rsidR="00A6772E" w:rsidRPr="00125AE7">
        <w:rPr>
          <w:rFonts w:ascii="Cambria" w:hAnsi="Cambria"/>
          <w:lang w:eastAsia="x-none"/>
        </w:rPr>
        <w:t xml:space="preserve"> health advocates </w:t>
      </w:r>
      <w:r w:rsidR="00AC069D" w:rsidRPr="00125AE7">
        <w:rPr>
          <w:rFonts w:ascii="Cambria" w:hAnsi="Cambria"/>
          <w:lang w:eastAsia="x-none"/>
        </w:rPr>
        <w:t xml:space="preserve">up to speed on </w:t>
      </w:r>
      <w:r w:rsidR="00A6772E" w:rsidRPr="00125AE7">
        <w:rPr>
          <w:rFonts w:ascii="Cambria" w:hAnsi="Cambria"/>
          <w:lang w:eastAsia="x-none"/>
        </w:rPr>
        <w:t xml:space="preserve">SUD </w:t>
      </w:r>
      <w:r w:rsidR="00AC069D" w:rsidRPr="00125AE7">
        <w:rPr>
          <w:rFonts w:ascii="Cambria" w:hAnsi="Cambria"/>
          <w:lang w:eastAsia="x-none"/>
        </w:rPr>
        <w:t xml:space="preserve">care </w:t>
      </w:r>
      <w:r w:rsidR="00A6772E" w:rsidRPr="00125AE7">
        <w:rPr>
          <w:rFonts w:ascii="Cambria" w:hAnsi="Cambria"/>
          <w:lang w:eastAsia="x-none"/>
        </w:rPr>
        <w:t>and drug policy</w:t>
      </w:r>
      <w:r w:rsidR="00AE6DC0">
        <w:rPr>
          <w:rFonts w:ascii="Cambria" w:hAnsi="Cambria"/>
          <w:lang w:eastAsia="x-none"/>
        </w:rPr>
        <w:t xml:space="preserve"> and</w:t>
      </w:r>
      <w:r w:rsidR="00AC069D" w:rsidRPr="00125AE7">
        <w:rPr>
          <w:rFonts w:ascii="Cambria" w:hAnsi="Cambria"/>
          <w:lang w:eastAsia="x-none"/>
        </w:rPr>
        <w:t xml:space="preserve"> (</w:t>
      </w:r>
      <w:r w:rsidR="008B33DC" w:rsidRPr="00125AE7">
        <w:rPr>
          <w:rFonts w:ascii="Cambria" w:hAnsi="Cambria"/>
          <w:lang w:eastAsia="x-none"/>
        </w:rPr>
        <w:t>b</w:t>
      </w:r>
      <w:r w:rsidR="00AC069D" w:rsidRPr="00125AE7">
        <w:rPr>
          <w:rFonts w:ascii="Cambria" w:hAnsi="Cambria"/>
          <w:lang w:eastAsia="x-none"/>
        </w:rPr>
        <w:t xml:space="preserve">) bring </w:t>
      </w:r>
      <w:r w:rsidR="00A6772E" w:rsidRPr="00125AE7">
        <w:rPr>
          <w:rFonts w:ascii="Cambria" w:hAnsi="Cambria"/>
          <w:lang w:eastAsia="x-none"/>
        </w:rPr>
        <w:t xml:space="preserve">SUD </w:t>
      </w:r>
      <w:r w:rsidR="00AC069D" w:rsidRPr="00125AE7">
        <w:rPr>
          <w:rFonts w:ascii="Cambria" w:hAnsi="Cambria"/>
          <w:lang w:eastAsia="x-none"/>
        </w:rPr>
        <w:t xml:space="preserve">services </w:t>
      </w:r>
      <w:r w:rsidR="00A6772E" w:rsidRPr="00125AE7">
        <w:rPr>
          <w:rFonts w:ascii="Cambria" w:hAnsi="Cambria"/>
          <w:lang w:eastAsia="x-none"/>
        </w:rPr>
        <w:t xml:space="preserve">advocates </w:t>
      </w:r>
      <w:r w:rsidR="00AC069D" w:rsidRPr="00125AE7">
        <w:rPr>
          <w:rFonts w:ascii="Cambria" w:hAnsi="Cambria"/>
          <w:lang w:eastAsia="x-none"/>
        </w:rPr>
        <w:t xml:space="preserve">up to speed on </w:t>
      </w:r>
      <w:r w:rsidR="008B33DC" w:rsidRPr="00125AE7">
        <w:rPr>
          <w:rFonts w:ascii="Cambria" w:hAnsi="Cambria"/>
          <w:lang w:eastAsia="x-none"/>
        </w:rPr>
        <w:t xml:space="preserve">broader </w:t>
      </w:r>
      <w:r w:rsidR="00A6772E" w:rsidRPr="00125AE7">
        <w:rPr>
          <w:rFonts w:ascii="Cambria" w:hAnsi="Cambria"/>
          <w:lang w:eastAsia="x-none"/>
        </w:rPr>
        <w:t>health policy,</w:t>
      </w:r>
      <w:r w:rsidRPr="00125AE7">
        <w:rPr>
          <w:rFonts w:ascii="Cambria" w:hAnsi="Cambria"/>
          <w:lang w:eastAsia="x-none"/>
        </w:rPr>
        <w:t xml:space="preserve"> health systems and funding, advocacy</w:t>
      </w:r>
      <w:r w:rsidR="00A6772E" w:rsidRPr="00125AE7">
        <w:rPr>
          <w:rFonts w:ascii="Cambria" w:hAnsi="Cambria"/>
          <w:lang w:eastAsia="x-none"/>
        </w:rPr>
        <w:t xml:space="preserve">, and </w:t>
      </w:r>
      <w:r w:rsidRPr="00125AE7">
        <w:rPr>
          <w:rFonts w:ascii="Cambria" w:hAnsi="Cambria"/>
          <w:lang w:eastAsia="x-none"/>
        </w:rPr>
        <w:t>how</w:t>
      </w:r>
      <w:r w:rsidR="00A6772E" w:rsidRPr="00125AE7">
        <w:rPr>
          <w:rFonts w:ascii="Cambria" w:hAnsi="Cambria"/>
          <w:lang w:eastAsia="x-none"/>
        </w:rPr>
        <w:t xml:space="preserve"> to work in effective coalitions</w:t>
      </w:r>
      <w:r w:rsidR="008B33DC" w:rsidRPr="00125AE7">
        <w:rPr>
          <w:rFonts w:ascii="Cambria" w:hAnsi="Cambria"/>
          <w:lang w:eastAsia="x-none"/>
        </w:rPr>
        <w:t xml:space="preserve"> in order to</w:t>
      </w:r>
      <w:r w:rsidR="00E33481">
        <w:rPr>
          <w:rFonts w:ascii="Cambria" w:hAnsi="Cambria"/>
          <w:lang w:eastAsia="x-none"/>
        </w:rPr>
        <w:t xml:space="preserve"> </w:t>
      </w:r>
      <w:r w:rsidR="008B33DC" w:rsidRPr="00125AE7">
        <w:rPr>
          <w:rFonts w:ascii="Cambria" w:hAnsi="Cambria"/>
          <w:lang w:eastAsia="x-none"/>
        </w:rPr>
        <w:t>successful</w:t>
      </w:r>
      <w:r w:rsidR="00E33481">
        <w:rPr>
          <w:rFonts w:ascii="Cambria" w:hAnsi="Cambria"/>
          <w:lang w:eastAsia="x-none"/>
        </w:rPr>
        <w:t>ly meet</w:t>
      </w:r>
      <w:r w:rsidR="008B33DC" w:rsidRPr="00125AE7">
        <w:rPr>
          <w:rFonts w:ascii="Cambria" w:hAnsi="Cambria"/>
          <w:lang w:eastAsia="x-none"/>
        </w:rPr>
        <w:t xml:space="preserve"> their grant commitments</w:t>
      </w:r>
      <w:r w:rsidR="00A6772E" w:rsidRPr="00125AE7">
        <w:rPr>
          <w:rFonts w:ascii="Cambria" w:hAnsi="Cambria"/>
          <w:lang w:eastAsia="x-none"/>
        </w:rPr>
        <w:t>.</w:t>
      </w:r>
    </w:p>
    <w:p w14:paraId="2D70B634" w14:textId="77777777" w:rsidR="008B33DC" w:rsidRPr="00125AE7" w:rsidRDefault="008B33DC" w:rsidP="00125AE7">
      <w:pPr>
        <w:rPr>
          <w:rFonts w:ascii="Cambria" w:hAnsi="Cambria"/>
          <w:lang w:eastAsia="x-none"/>
        </w:rPr>
      </w:pPr>
    </w:p>
    <w:p w14:paraId="580AB14F" w14:textId="7F0934C6" w:rsidR="004E6CE8" w:rsidRPr="00125AE7" w:rsidRDefault="00B3612A" w:rsidP="00125AE7">
      <w:pPr>
        <w:rPr>
          <w:rFonts w:ascii="Cambria" w:hAnsi="Cambria"/>
          <w:lang w:eastAsia="x-none"/>
        </w:rPr>
      </w:pPr>
      <w:r w:rsidRPr="00125AE7">
        <w:rPr>
          <w:rFonts w:ascii="Cambria" w:hAnsi="Cambria"/>
          <w:lang w:eastAsia="x-none"/>
        </w:rPr>
        <w:t xml:space="preserve">CNDP also continued funding </w:t>
      </w:r>
      <w:r w:rsidR="001E538C">
        <w:rPr>
          <w:rFonts w:ascii="Cambria" w:hAnsi="Cambria"/>
          <w:lang w:eastAsia="x-none"/>
        </w:rPr>
        <w:t xml:space="preserve">to </w:t>
      </w:r>
      <w:r w:rsidRPr="00125AE7">
        <w:rPr>
          <w:rFonts w:ascii="Cambria" w:hAnsi="Cambria"/>
          <w:lang w:eastAsia="x-none"/>
        </w:rPr>
        <w:t xml:space="preserve">three previous </w:t>
      </w:r>
      <w:r w:rsidR="00E33481">
        <w:rPr>
          <w:rFonts w:ascii="Cambria" w:hAnsi="Cambria"/>
          <w:lang w:eastAsia="x-none"/>
        </w:rPr>
        <w:t>grantees in Closing the Addiction Treatment Gap (</w:t>
      </w:r>
      <w:r w:rsidRPr="00125AE7">
        <w:rPr>
          <w:rFonts w:ascii="Cambria" w:hAnsi="Cambria"/>
          <w:lang w:eastAsia="x-none"/>
        </w:rPr>
        <w:t>CATG</w:t>
      </w:r>
      <w:r w:rsidR="00E33481">
        <w:rPr>
          <w:rFonts w:ascii="Cambria" w:hAnsi="Cambria"/>
          <w:lang w:eastAsia="x-none"/>
        </w:rPr>
        <w:t>)</w:t>
      </w:r>
      <w:r w:rsidRPr="00125AE7">
        <w:rPr>
          <w:rFonts w:ascii="Cambria" w:hAnsi="Cambria"/>
          <w:lang w:eastAsia="x-none"/>
        </w:rPr>
        <w:t xml:space="preserve"> states</w:t>
      </w:r>
      <w:r w:rsidR="00E33481">
        <w:rPr>
          <w:rFonts w:ascii="Cambria" w:hAnsi="Cambria"/>
          <w:lang w:eastAsia="x-none"/>
        </w:rPr>
        <w:t xml:space="preserve">: </w:t>
      </w:r>
      <w:r w:rsidRPr="00125AE7">
        <w:rPr>
          <w:rFonts w:ascii="Cambria" w:hAnsi="Cambria"/>
          <w:lang w:eastAsia="x-none"/>
        </w:rPr>
        <w:t xml:space="preserve">New York, New Jersey and Wisconsin. These </w:t>
      </w:r>
      <w:r w:rsidR="001E538C">
        <w:rPr>
          <w:rFonts w:ascii="Cambria" w:hAnsi="Cambria"/>
          <w:lang w:eastAsia="x-none"/>
        </w:rPr>
        <w:t>grantees</w:t>
      </w:r>
      <w:r w:rsidR="001E538C" w:rsidRPr="00125AE7">
        <w:rPr>
          <w:rFonts w:ascii="Cambria" w:hAnsi="Cambria"/>
          <w:lang w:eastAsia="x-none"/>
        </w:rPr>
        <w:t xml:space="preserve"> </w:t>
      </w:r>
      <w:r w:rsidRPr="00125AE7">
        <w:rPr>
          <w:rFonts w:ascii="Cambria" w:hAnsi="Cambria"/>
          <w:lang w:eastAsia="x-none"/>
        </w:rPr>
        <w:t xml:space="preserve">already understood the importance of coalitions, but the </w:t>
      </w:r>
      <w:r w:rsidR="00E33481">
        <w:rPr>
          <w:rFonts w:ascii="Cambria" w:hAnsi="Cambria"/>
          <w:lang w:eastAsia="x-none"/>
        </w:rPr>
        <w:t>participation</w:t>
      </w:r>
      <w:r w:rsidR="00E33481" w:rsidRPr="00125AE7">
        <w:rPr>
          <w:rFonts w:ascii="Cambria" w:hAnsi="Cambria"/>
          <w:lang w:eastAsia="x-none"/>
        </w:rPr>
        <w:t xml:space="preserve"> </w:t>
      </w:r>
      <w:r w:rsidRPr="00125AE7">
        <w:rPr>
          <w:rFonts w:ascii="Cambria" w:hAnsi="Cambria"/>
          <w:lang w:eastAsia="x-none"/>
        </w:rPr>
        <w:t xml:space="preserve">of the </w:t>
      </w:r>
      <w:r w:rsidR="001E538C">
        <w:rPr>
          <w:rFonts w:ascii="Cambria" w:hAnsi="Cambria"/>
          <w:lang w:eastAsia="x-none"/>
        </w:rPr>
        <w:t xml:space="preserve">newly engaged </w:t>
      </w:r>
      <w:r w:rsidRPr="00125AE7">
        <w:rPr>
          <w:rFonts w:ascii="Cambria" w:hAnsi="Cambria"/>
          <w:lang w:eastAsia="x-none"/>
        </w:rPr>
        <w:t xml:space="preserve">health advocates made their work stronger. </w:t>
      </w:r>
      <w:r w:rsidR="00A6772E" w:rsidRPr="00125AE7">
        <w:rPr>
          <w:rFonts w:ascii="Cambria" w:hAnsi="Cambria"/>
          <w:lang w:eastAsia="x-none"/>
        </w:rPr>
        <w:t>Th</w:t>
      </w:r>
      <w:r w:rsidR="008B33DC" w:rsidRPr="00125AE7">
        <w:rPr>
          <w:rFonts w:ascii="Cambria" w:hAnsi="Cambria"/>
          <w:lang w:eastAsia="x-none"/>
        </w:rPr>
        <w:t>is</w:t>
      </w:r>
      <w:r w:rsidR="00A6772E" w:rsidRPr="00125AE7">
        <w:rPr>
          <w:rFonts w:ascii="Cambria" w:hAnsi="Cambria"/>
          <w:lang w:eastAsia="x-none"/>
        </w:rPr>
        <w:t xml:space="preserve"> </w:t>
      </w:r>
      <w:r w:rsidR="00DF1125" w:rsidRPr="00125AE7">
        <w:rPr>
          <w:rFonts w:ascii="Cambria" w:hAnsi="Cambria"/>
          <w:lang w:eastAsia="x-none"/>
        </w:rPr>
        <w:t xml:space="preserve">reconfiguration of CNDP’s health </w:t>
      </w:r>
      <w:r w:rsidR="008C7251" w:rsidRPr="00125AE7">
        <w:rPr>
          <w:rFonts w:ascii="Cambria" w:hAnsi="Cambria"/>
          <w:lang w:eastAsia="x-none"/>
        </w:rPr>
        <w:t>portfolio</w:t>
      </w:r>
      <w:r w:rsidR="008C7251">
        <w:rPr>
          <w:rFonts w:ascii="Cambria" w:hAnsi="Cambria"/>
          <w:lang w:eastAsia="x-none"/>
        </w:rPr>
        <w:t xml:space="preserve"> </w:t>
      </w:r>
      <w:r w:rsidR="008C7251" w:rsidRPr="00125AE7">
        <w:rPr>
          <w:rFonts w:ascii="Cambria" w:hAnsi="Cambria"/>
          <w:lang w:eastAsia="x-none"/>
        </w:rPr>
        <w:t>led</w:t>
      </w:r>
      <w:r w:rsidR="00DF1125" w:rsidRPr="00125AE7">
        <w:rPr>
          <w:rFonts w:ascii="Cambria" w:hAnsi="Cambria"/>
          <w:lang w:eastAsia="x-none"/>
        </w:rPr>
        <w:t xml:space="preserve"> to a number of outcomes.</w:t>
      </w:r>
      <w:r w:rsidR="00F852EC" w:rsidRPr="00125AE7">
        <w:rPr>
          <w:rFonts w:ascii="Cambria" w:hAnsi="Cambria"/>
          <w:lang w:eastAsia="x-none"/>
        </w:rPr>
        <w:t xml:space="preserve"> </w:t>
      </w:r>
      <w:r w:rsidR="004E6CE8" w:rsidRPr="00125AE7">
        <w:rPr>
          <w:rFonts w:ascii="Cambria" w:hAnsi="Cambria"/>
          <w:lang w:eastAsia="x-none"/>
        </w:rPr>
        <w:t xml:space="preserve">The hybrid advocacy of SUD and health </w:t>
      </w:r>
      <w:r w:rsidR="00A35E31" w:rsidRPr="00125AE7">
        <w:rPr>
          <w:rFonts w:ascii="Cambria" w:hAnsi="Cambria"/>
          <w:lang w:eastAsia="x-none"/>
        </w:rPr>
        <w:t>groups led</w:t>
      </w:r>
      <w:r w:rsidR="004E6CE8" w:rsidRPr="00125AE7">
        <w:rPr>
          <w:rFonts w:ascii="Cambria" w:hAnsi="Cambria"/>
          <w:lang w:eastAsia="x-none"/>
        </w:rPr>
        <w:t xml:space="preserve"> to successful coalitions</w:t>
      </w:r>
      <w:r w:rsidR="00E33481">
        <w:rPr>
          <w:rFonts w:ascii="Cambria" w:hAnsi="Cambria"/>
          <w:lang w:eastAsia="x-none"/>
        </w:rPr>
        <w:t xml:space="preserve"> that, in our view, achieved more than either set of advocates could have working separately.  For example, </w:t>
      </w:r>
      <w:r w:rsidR="004E6CE8" w:rsidRPr="00125AE7">
        <w:rPr>
          <w:rFonts w:ascii="Cambria" w:hAnsi="Cambria"/>
          <w:lang w:eastAsia="x-none"/>
        </w:rPr>
        <w:t>New York’s Medicaid redesign will include a full range of SUD services including harm reduction</w:t>
      </w:r>
      <w:r w:rsidR="00E05B94">
        <w:rPr>
          <w:rFonts w:ascii="Cambria" w:hAnsi="Cambria"/>
          <w:lang w:eastAsia="x-none"/>
        </w:rPr>
        <w:t xml:space="preserve"> programs</w:t>
      </w:r>
      <w:r w:rsidR="004E6CE8" w:rsidRPr="00125AE7">
        <w:rPr>
          <w:rFonts w:ascii="Cambria" w:hAnsi="Cambria"/>
          <w:lang w:eastAsia="x-none"/>
        </w:rPr>
        <w:t xml:space="preserve"> and innovative Medicaid pilots </w:t>
      </w:r>
      <w:r w:rsidR="00E05B94">
        <w:rPr>
          <w:rFonts w:ascii="Cambria" w:hAnsi="Cambria"/>
          <w:lang w:eastAsia="x-none"/>
        </w:rPr>
        <w:t xml:space="preserve">with </w:t>
      </w:r>
      <w:r w:rsidR="004E6CE8" w:rsidRPr="00125AE7">
        <w:rPr>
          <w:rFonts w:ascii="Cambria" w:hAnsi="Cambria"/>
          <w:lang w:eastAsia="x-none"/>
        </w:rPr>
        <w:t>health and wrap around services for those leaving prison</w:t>
      </w:r>
      <w:r w:rsidR="00F852EC" w:rsidRPr="00125AE7">
        <w:rPr>
          <w:rFonts w:ascii="Cambria" w:hAnsi="Cambria"/>
          <w:lang w:eastAsia="x-none"/>
        </w:rPr>
        <w:t xml:space="preserve"> </w:t>
      </w:r>
      <w:r w:rsidRPr="00125AE7">
        <w:rPr>
          <w:rFonts w:ascii="Cambria" w:hAnsi="Cambria"/>
          <w:lang w:eastAsia="x-none"/>
        </w:rPr>
        <w:t>(ASAP-NY, Community Catalyst, harm reduction groups and Mental Health advocates</w:t>
      </w:r>
      <w:r w:rsidR="00F852EC" w:rsidRPr="00125AE7">
        <w:rPr>
          <w:rFonts w:ascii="Cambria" w:hAnsi="Cambria"/>
          <w:lang w:eastAsia="x-none"/>
        </w:rPr>
        <w:t xml:space="preserve">). Furthermore, </w:t>
      </w:r>
      <w:r w:rsidR="00E05B94">
        <w:rPr>
          <w:rFonts w:ascii="Cambria" w:hAnsi="Cambria"/>
          <w:lang w:eastAsia="x-none"/>
        </w:rPr>
        <w:t>c</w:t>
      </w:r>
      <w:r w:rsidRPr="00125AE7">
        <w:rPr>
          <w:rFonts w:ascii="Cambria" w:hAnsi="Cambria"/>
          <w:lang w:eastAsia="x-none"/>
        </w:rPr>
        <w:t xml:space="preserve">oalitions </w:t>
      </w:r>
      <w:r w:rsidR="00F852EC" w:rsidRPr="00125AE7">
        <w:rPr>
          <w:rFonts w:ascii="Cambria" w:hAnsi="Cambria"/>
          <w:lang w:eastAsia="x-none"/>
        </w:rPr>
        <w:t>of</w:t>
      </w:r>
      <w:r w:rsidRPr="00125AE7">
        <w:rPr>
          <w:rFonts w:ascii="Cambria" w:hAnsi="Cambria"/>
          <w:lang w:eastAsia="x-none"/>
        </w:rPr>
        <w:t xml:space="preserve"> </w:t>
      </w:r>
      <w:r w:rsidR="004E6CE8" w:rsidRPr="00125AE7">
        <w:rPr>
          <w:rFonts w:ascii="Cambria" w:hAnsi="Cambria"/>
          <w:lang w:eastAsia="x-none"/>
        </w:rPr>
        <w:t>SUD</w:t>
      </w:r>
      <w:r w:rsidRPr="00125AE7">
        <w:rPr>
          <w:rFonts w:ascii="Cambria" w:hAnsi="Cambria"/>
          <w:lang w:eastAsia="x-none"/>
        </w:rPr>
        <w:t xml:space="preserve"> and </w:t>
      </w:r>
      <w:r w:rsidR="004E6CE8" w:rsidRPr="00125AE7">
        <w:rPr>
          <w:rFonts w:ascii="Cambria" w:hAnsi="Cambria"/>
          <w:lang w:eastAsia="x-none"/>
        </w:rPr>
        <w:t xml:space="preserve">health </w:t>
      </w:r>
      <w:r w:rsidRPr="00125AE7">
        <w:rPr>
          <w:rFonts w:ascii="Cambria" w:hAnsi="Cambria"/>
          <w:lang w:eastAsia="x-none"/>
        </w:rPr>
        <w:t>advocates</w:t>
      </w:r>
      <w:r w:rsidR="004E6CE8" w:rsidRPr="00125AE7">
        <w:rPr>
          <w:rFonts w:ascii="Cambria" w:hAnsi="Cambria"/>
          <w:lang w:eastAsia="x-none"/>
        </w:rPr>
        <w:t xml:space="preserve"> secured </w:t>
      </w:r>
      <w:r w:rsidR="00E05B94">
        <w:rPr>
          <w:rFonts w:ascii="Cambria" w:hAnsi="Cambria"/>
          <w:lang w:eastAsia="x-none"/>
        </w:rPr>
        <w:t xml:space="preserve">various degrees of </w:t>
      </w:r>
      <w:r w:rsidR="004E6CE8" w:rsidRPr="00125AE7">
        <w:rPr>
          <w:rFonts w:ascii="Cambria" w:hAnsi="Cambria"/>
          <w:lang w:eastAsia="x-none"/>
        </w:rPr>
        <w:t>expansion of Medicaid in several wavering states</w:t>
      </w:r>
      <w:r w:rsidR="00E05B94">
        <w:rPr>
          <w:rFonts w:ascii="Cambria" w:hAnsi="Cambria"/>
          <w:lang w:eastAsia="x-none"/>
        </w:rPr>
        <w:t>,</w:t>
      </w:r>
      <w:r w:rsidR="004E6CE8" w:rsidRPr="00125AE7">
        <w:rPr>
          <w:rFonts w:ascii="Cambria" w:hAnsi="Cambria"/>
          <w:lang w:eastAsia="x-none"/>
        </w:rPr>
        <w:t xml:space="preserve"> including New Jersey, Arkansas, Ohio and Wisconsin</w:t>
      </w:r>
      <w:r w:rsidR="00E05B94">
        <w:rPr>
          <w:rFonts w:ascii="Cambria" w:hAnsi="Cambria"/>
          <w:lang w:eastAsia="x-none"/>
        </w:rPr>
        <w:t xml:space="preserve">.  </w:t>
      </w:r>
    </w:p>
    <w:p w14:paraId="2D40FFAD" w14:textId="77777777" w:rsidR="00DF1125" w:rsidRPr="00125AE7" w:rsidRDefault="00DF1125" w:rsidP="00125AE7">
      <w:pPr>
        <w:rPr>
          <w:rFonts w:ascii="Cambria" w:hAnsi="Cambria"/>
          <w:lang w:eastAsia="x-none"/>
        </w:rPr>
      </w:pPr>
    </w:p>
    <w:p w14:paraId="319D5515" w14:textId="02EA3853" w:rsidR="00B474A6" w:rsidRPr="00125AE7" w:rsidRDefault="00DF1125" w:rsidP="00125AE7">
      <w:pPr>
        <w:pStyle w:val="ListParagraph"/>
        <w:ind w:left="0"/>
        <w:rPr>
          <w:rFonts w:ascii="Cambria" w:hAnsi="Cambria"/>
          <w:sz w:val="22"/>
          <w:szCs w:val="22"/>
          <w:lang w:eastAsia="x-none"/>
        </w:rPr>
      </w:pPr>
      <w:r w:rsidRPr="00125AE7">
        <w:rPr>
          <w:rFonts w:ascii="Cambria" w:hAnsi="Cambria"/>
          <w:sz w:val="22"/>
          <w:szCs w:val="22"/>
          <w:lang w:eastAsia="x-none"/>
        </w:rPr>
        <w:t xml:space="preserve">In this effort, </w:t>
      </w:r>
      <w:r w:rsidR="00E05B94">
        <w:rPr>
          <w:rFonts w:ascii="Cambria" w:hAnsi="Cambria"/>
          <w:sz w:val="22"/>
          <w:szCs w:val="22"/>
          <w:lang w:eastAsia="x-none"/>
        </w:rPr>
        <w:t xml:space="preserve">the direct engagement of </w:t>
      </w:r>
      <w:r w:rsidRPr="00125AE7">
        <w:rPr>
          <w:rFonts w:ascii="Cambria" w:hAnsi="Cambria"/>
          <w:sz w:val="22"/>
          <w:szCs w:val="22"/>
          <w:lang w:eastAsia="x-none"/>
        </w:rPr>
        <w:t>CND</w:t>
      </w:r>
      <w:r w:rsidR="00E96DA9">
        <w:rPr>
          <w:rFonts w:ascii="Cambria" w:hAnsi="Cambria"/>
          <w:sz w:val="22"/>
          <w:szCs w:val="22"/>
          <w:lang w:eastAsia="x-none"/>
        </w:rPr>
        <w:t>P</w:t>
      </w:r>
      <w:r w:rsidRPr="00125AE7">
        <w:rPr>
          <w:rFonts w:ascii="Cambria" w:hAnsi="Cambria"/>
          <w:sz w:val="22"/>
          <w:szCs w:val="22"/>
          <w:lang w:eastAsia="x-none"/>
        </w:rPr>
        <w:t>’s Kima Taylor</w:t>
      </w:r>
      <w:r w:rsidR="00E05B94">
        <w:rPr>
          <w:rFonts w:ascii="Cambria" w:hAnsi="Cambria"/>
          <w:sz w:val="22"/>
          <w:szCs w:val="22"/>
          <w:lang w:eastAsia="x-none"/>
        </w:rPr>
        <w:t xml:space="preserve"> </w:t>
      </w:r>
      <w:r w:rsidR="00E11C17">
        <w:rPr>
          <w:rFonts w:ascii="Cambria" w:hAnsi="Cambria"/>
          <w:sz w:val="22"/>
          <w:szCs w:val="22"/>
          <w:lang w:eastAsia="x-none"/>
        </w:rPr>
        <w:t xml:space="preserve">with the field </w:t>
      </w:r>
      <w:r w:rsidR="00E05B94">
        <w:rPr>
          <w:rFonts w:ascii="Cambria" w:hAnsi="Cambria"/>
          <w:sz w:val="22"/>
          <w:szCs w:val="22"/>
          <w:lang w:eastAsia="x-none"/>
        </w:rPr>
        <w:t xml:space="preserve">was essential. </w:t>
      </w:r>
      <w:r w:rsidR="00264266">
        <w:rPr>
          <w:rFonts w:ascii="Cambria" w:hAnsi="Cambria"/>
          <w:sz w:val="22"/>
          <w:szCs w:val="22"/>
          <w:lang w:eastAsia="x-none"/>
        </w:rPr>
        <w:t xml:space="preserve"> Dr. Taylor’s command of the vast </w:t>
      </w:r>
      <w:r w:rsidR="005337CE" w:rsidRPr="00125AE7">
        <w:rPr>
          <w:rFonts w:ascii="Cambria" w:hAnsi="Cambria"/>
          <w:sz w:val="22"/>
          <w:szCs w:val="22"/>
          <w:lang w:eastAsia="x-none"/>
        </w:rPr>
        <w:t xml:space="preserve">legislative and </w:t>
      </w:r>
      <w:r w:rsidR="00A6772E" w:rsidRPr="00125AE7">
        <w:rPr>
          <w:rFonts w:ascii="Cambria" w:hAnsi="Cambria"/>
          <w:sz w:val="22"/>
          <w:szCs w:val="22"/>
          <w:lang w:eastAsia="x-none"/>
        </w:rPr>
        <w:t>regulat</w:t>
      </w:r>
      <w:r w:rsidR="005337CE" w:rsidRPr="00125AE7">
        <w:rPr>
          <w:rFonts w:ascii="Cambria" w:hAnsi="Cambria"/>
          <w:sz w:val="22"/>
          <w:szCs w:val="22"/>
          <w:lang w:eastAsia="x-none"/>
        </w:rPr>
        <w:t xml:space="preserve">ory framework of the ACA and national health care reform overall </w:t>
      </w:r>
      <w:r w:rsidR="009A3715" w:rsidRPr="00125AE7">
        <w:rPr>
          <w:rFonts w:ascii="Cambria" w:hAnsi="Cambria"/>
          <w:sz w:val="22"/>
          <w:szCs w:val="22"/>
          <w:lang w:eastAsia="x-none"/>
        </w:rPr>
        <w:t xml:space="preserve">encouraged </w:t>
      </w:r>
      <w:r w:rsidR="005337CE" w:rsidRPr="00125AE7">
        <w:rPr>
          <w:rFonts w:ascii="Cambria" w:hAnsi="Cambria"/>
          <w:sz w:val="22"/>
          <w:szCs w:val="22"/>
          <w:lang w:eastAsia="x-none"/>
        </w:rPr>
        <w:t>grantees and non-grantee partners to pursue difficult</w:t>
      </w:r>
      <w:r w:rsidR="00F852EC" w:rsidRPr="00125AE7">
        <w:rPr>
          <w:rFonts w:ascii="Cambria" w:hAnsi="Cambria"/>
          <w:sz w:val="22"/>
          <w:szCs w:val="22"/>
          <w:lang w:eastAsia="x-none"/>
        </w:rPr>
        <w:t>,</w:t>
      </w:r>
      <w:r w:rsidR="005337CE" w:rsidRPr="00125AE7">
        <w:rPr>
          <w:rFonts w:ascii="Cambria" w:hAnsi="Cambria"/>
          <w:sz w:val="22"/>
          <w:szCs w:val="22"/>
          <w:lang w:eastAsia="x-none"/>
        </w:rPr>
        <w:t xml:space="preserve"> but necessary o</w:t>
      </w:r>
      <w:r w:rsidR="00A6772E" w:rsidRPr="00125AE7">
        <w:rPr>
          <w:rFonts w:ascii="Cambria" w:hAnsi="Cambria"/>
          <w:sz w:val="22"/>
          <w:szCs w:val="22"/>
          <w:lang w:eastAsia="x-none"/>
        </w:rPr>
        <w:t>pportunities</w:t>
      </w:r>
      <w:r w:rsidR="005337CE" w:rsidRPr="00125AE7">
        <w:rPr>
          <w:rFonts w:ascii="Cambria" w:hAnsi="Cambria"/>
          <w:sz w:val="22"/>
          <w:szCs w:val="22"/>
          <w:lang w:eastAsia="x-none"/>
        </w:rPr>
        <w:t xml:space="preserve">. </w:t>
      </w:r>
      <w:r w:rsidR="00465594">
        <w:rPr>
          <w:rFonts w:ascii="Cambria" w:hAnsi="Cambria"/>
          <w:sz w:val="22"/>
          <w:szCs w:val="22"/>
          <w:lang w:eastAsia="x-none"/>
        </w:rPr>
        <w:t>However</w:t>
      </w:r>
      <w:r w:rsidR="00A6772E" w:rsidRPr="00125AE7">
        <w:rPr>
          <w:rFonts w:ascii="Cambria" w:hAnsi="Cambria"/>
          <w:sz w:val="22"/>
          <w:szCs w:val="22"/>
          <w:lang w:eastAsia="x-none"/>
        </w:rPr>
        <w:t xml:space="preserve">, </w:t>
      </w:r>
      <w:r w:rsidR="00E11C17">
        <w:rPr>
          <w:rFonts w:ascii="Cambria" w:hAnsi="Cambria"/>
          <w:sz w:val="22"/>
          <w:szCs w:val="22"/>
          <w:lang w:eastAsia="x-none"/>
        </w:rPr>
        <w:t xml:space="preserve">this degree </w:t>
      </w:r>
      <w:r w:rsidR="002946B3">
        <w:rPr>
          <w:rFonts w:ascii="Cambria" w:hAnsi="Cambria"/>
          <w:sz w:val="22"/>
          <w:szCs w:val="22"/>
          <w:lang w:eastAsia="x-none"/>
        </w:rPr>
        <w:t>o</w:t>
      </w:r>
      <w:r w:rsidR="00E11C17">
        <w:rPr>
          <w:rFonts w:ascii="Cambria" w:hAnsi="Cambria"/>
          <w:sz w:val="22"/>
          <w:szCs w:val="22"/>
          <w:lang w:eastAsia="x-none"/>
        </w:rPr>
        <w:t>f involvement</w:t>
      </w:r>
      <w:r w:rsidR="00E11C17" w:rsidRPr="00125AE7">
        <w:rPr>
          <w:rFonts w:ascii="Cambria" w:hAnsi="Cambria"/>
          <w:sz w:val="22"/>
          <w:szCs w:val="22"/>
          <w:lang w:eastAsia="x-none"/>
        </w:rPr>
        <w:t xml:space="preserve"> </w:t>
      </w:r>
      <w:r w:rsidR="00E37862">
        <w:rPr>
          <w:rFonts w:ascii="Cambria" w:hAnsi="Cambria"/>
          <w:sz w:val="22"/>
          <w:szCs w:val="22"/>
          <w:lang w:eastAsia="x-none"/>
        </w:rPr>
        <w:t>has potential</w:t>
      </w:r>
      <w:r w:rsidR="005337CE" w:rsidRPr="00125AE7">
        <w:rPr>
          <w:rFonts w:ascii="Cambria" w:hAnsi="Cambria"/>
          <w:sz w:val="22"/>
          <w:szCs w:val="22"/>
          <w:lang w:eastAsia="x-none"/>
        </w:rPr>
        <w:t xml:space="preserve"> pitfalls. Given the reliance of many of the SUD services advocacy groups on OSF for funding, s</w:t>
      </w:r>
      <w:r w:rsidR="00A6772E" w:rsidRPr="00125AE7">
        <w:rPr>
          <w:rFonts w:ascii="Cambria" w:hAnsi="Cambria"/>
          <w:sz w:val="22"/>
          <w:szCs w:val="22"/>
          <w:lang w:eastAsia="x-none"/>
        </w:rPr>
        <w:t xml:space="preserve">everal grants failed because </w:t>
      </w:r>
      <w:r w:rsidR="005337CE" w:rsidRPr="00125AE7">
        <w:rPr>
          <w:rFonts w:ascii="Cambria" w:hAnsi="Cambria"/>
          <w:sz w:val="22"/>
          <w:szCs w:val="22"/>
          <w:lang w:eastAsia="x-none"/>
        </w:rPr>
        <w:t>organizations</w:t>
      </w:r>
      <w:r w:rsidR="00A6772E" w:rsidRPr="00125AE7">
        <w:rPr>
          <w:rFonts w:ascii="Cambria" w:hAnsi="Cambria"/>
          <w:sz w:val="22"/>
          <w:szCs w:val="22"/>
          <w:lang w:eastAsia="x-none"/>
        </w:rPr>
        <w:t xml:space="preserve"> </w:t>
      </w:r>
      <w:r w:rsidR="005337CE" w:rsidRPr="00125AE7">
        <w:rPr>
          <w:rFonts w:ascii="Cambria" w:hAnsi="Cambria"/>
          <w:sz w:val="22"/>
          <w:szCs w:val="22"/>
          <w:lang w:eastAsia="x-none"/>
        </w:rPr>
        <w:t xml:space="preserve">attempted to do what they assumed </w:t>
      </w:r>
      <w:r w:rsidR="0030428A" w:rsidRPr="00125AE7">
        <w:rPr>
          <w:rFonts w:ascii="Cambria" w:hAnsi="Cambria"/>
          <w:sz w:val="22"/>
          <w:szCs w:val="22"/>
          <w:lang w:eastAsia="x-none"/>
        </w:rPr>
        <w:t xml:space="preserve">we </w:t>
      </w:r>
      <w:r w:rsidR="005337CE" w:rsidRPr="00125AE7">
        <w:rPr>
          <w:rFonts w:ascii="Cambria" w:hAnsi="Cambria"/>
          <w:sz w:val="22"/>
          <w:szCs w:val="22"/>
          <w:lang w:eastAsia="x-none"/>
        </w:rPr>
        <w:t>wanted</w:t>
      </w:r>
      <w:r w:rsidR="00465594">
        <w:rPr>
          <w:rFonts w:ascii="Cambria" w:hAnsi="Cambria"/>
          <w:sz w:val="22"/>
          <w:szCs w:val="22"/>
          <w:lang w:eastAsia="x-none"/>
        </w:rPr>
        <w:t>,</w:t>
      </w:r>
      <w:r w:rsidR="005337CE" w:rsidRPr="00125AE7">
        <w:rPr>
          <w:rFonts w:ascii="Cambria" w:hAnsi="Cambria"/>
          <w:sz w:val="22"/>
          <w:szCs w:val="22"/>
          <w:lang w:eastAsia="x-none"/>
        </w:rPr>
        <w:t xml:space="preserve"> rather than find</w:t>
      </w:r>
      <w:r w:rsidR="0030428A" w:rsidRPr="00125AE7">
        <w:rPr>
          <w:rFonts w:ascii="Cambria" w:hAnsi="Cambria"/>
          <w:sz w:val="22"/>
          <w:szCs w:val="22"/>
          <w:lang w:eastAsia="x-none"/>
        </w:rPr>
        <w:t>ing</w:t>
      </w:r>
      <w:r w:rsidR="005337CE" w:rsidRPr="00125AE7">
        <w:rPr>
          <w:rFonts w:ascii="Cambria" w:hAnsi="Cambria"/>
          <w:sz w:val="22"/>
          <w:szCs w:val="22"/>
          <w:lang w:eastAsia="x-none"/>
        </w:rPr>
        <w:t xml:space="preserve"> their own path to</w:t>
      </w:r>
      <w:r w:rsidR="00465594">
        <w:rPr>
          <w:rFonts w:ascii="Cambria" w:hAnsi="Cambria"/>
          <w:sz w:val="22"/>
          <w:szCs w:val="22"/>
          <w:lang w:eastAsia="x-none"/>
        </w:rPr>
        <w:t xml:space="preserve">ward </w:t>
      </w:r>
      <w:r w:rsidR="005337CE" w:rsidRPr="00125AE7">
        <w:rPr>
          <w:rFonts w:ascii="Cambria" w:hAnsi="Cambria"/>
          <w:sz w:val="22"/>
          <w:szCs w:val="22"/>
          <w:lang w:eastAsia="x-none"/>
        </w:rPr>
        <w:t>achieving the objective of CNDP’</w:t>
      </w:r>
      <w:r w:rsidR="002841B7" w:rsidRPr="00125AE7">
        <w:rPr>
          <w:rFonts w:ascii="Cambria" w:hAnsi="Cambria"/>
          <w:sz w:val="22"/>
          <w:szCs w:val="22"/>
          <w:lang w:eastAsia="x-none"/>
        </w:rPr>
        <w:t xml:space="preserve">s grant. </w:t>
      </w:r>
      <w:r w:rsidR="009A3715" w:rsidRPr="00125AE7">
        <w:rPr>
          <w:rFonts w:ascii="Cambria" w:hAnsi="Cambria"/>
          <w:sz w:val="22"/>
          <w:szCs w:val="22"/>
          <w:lang w:eastAsia="x-none"/>
        </w:rPr>
        <w:t xml:space="preserve">The </w:t>
      </w:r>
      <w:r w:rsidR="002841B7" w:rsidRPr="00125AE7">
        <w:rPr>
          <w:rFonts w:ascii="Cambria" w:hAnsi="Cambria"/>
          <w:sz w:val="22"/>
          <w:szCs w:val="22"/>
          <w:lang w:eastAsia="x-none"/>
        </w:rPr>
        <w:t xml:space="preserve">early CNDP </w:t>
      </w:r>
      <w:r w:rsidR="00A6772E" w:rsidRPr="00125AE7">
        <w:rPr>
          <w:rFonts w:ascii="Cambria" w:hAnsi="Cambria"/>
          <w:sz w:val="22"/>
          <w:szCs w:val="22"/>
          <w:lang w:eastAsia="x-none"/>
        </w:rPr>
        <w:t xml:space="preserve">grant </w:t>
      </w:r>
      <w:r w:rsidR="009A3715" w:rsidRPr="00125AE7">
        <w:rPr>
          <w:rFonts w:ascii="Cambria" w:hAnsi="Cambria"/>
          <w:sz w:val="22"/>
          <w:szCs w:val="22"/>
          <w:lang w:eastAsia="x-none"/>
        </w:rPr>
        <w:t xml:space="preserve">supporting </w:t>
      </w:r>
      <w:r w:rsidR="00A6772E" w:rsidRPr="00125AE7">
        <w:rPr>
          <w:rFonts w:ascii="Cambria" w:hAnsi="Cambria"/>
          <w:sz w:val="22"/>
          <w:szCs w:val="22"/>
          <w:lang w:eastAsia="x-none"/>
        </w:rPr>
        <w:t>Legal Action Center</w:t>
      </w:r>
      <w:r w:rsidR="009A3715" w:rsidRPr="00125AE7">
        <w:rPr>
          <w:rFonts w:ascii="Cambria" w:hAnsi="Cambria"/>
          <w:sz w:val="22"/>
          <w:szCs w:val="22"/>
          <w:lang w:eastAsia="x-none"/>
        </w:rPr>
        <w:t xml:space="preserve"> to work with George Washington</w:t>
      </w:r>
      <w:r w:rsidR="0030428A" w:rsidRPr="00125AE7">
        <w:rPr>
          <w:rFonts w:ascii="Cambria" w:hAnsi="Cambria"/>
          <w:sz w:val="22"/>
          <w:szCs w:val="22"/>
          <w:lang w:eastAsia="x-none"/>
        </w:rPr>
        <w:t xml:space="preserve"> </w:t>
      </w:r>
      <w:r w:rsidR="00E11C17">
        <w:rPr>
          <w:rFonts w:ascii="Cambria" w:hAnsi="Cambria"/>
          <w:sz w:val="22"/>
          <w:szCs w:val="22"/>
          <w:lang w:eastAsia="x-none"/>
        </w:rPr>
        <w:t>i</w:t>
      </w:r>
      <w:r w:rsidR="002841B7" w:rsidRPr="00125AE7">
        <w:rPr>
          <w:rFonts w:ascii="Cambria" w:hAnsi="Cambria"/>
          <w:sz w:val="22"/>
          <w:szCs w:val="22"/>
          <w:lang w:eastAsia="x-none"/>
        </w:rPr>
        <w:t xml:space="preserve">s one </w:t>
      </w:r>
      <w:r w:rsidR="00A6772E" w:rsidRPr="00125AE7">
        <w:rPr>
          <w:rFonts w:ascii="Cambria" w:hAnsi="Cambria"/>
          <w:sz w:val="22"/>
          <w:szCs w:val="22"/>
          <w:lang w:eastAsia="x-none"/>
        </w:rPr>
        <w:t>example</w:t>
      </w:r>
      <w:r w:rsidR="00E11C17">
        <w:rPr>
          <w:rFonts w:ascii="Cambria" w:hAnsi="Cambria"/>
          <w:sz w:val="22"/>
          <w:szCs w:val="22"/>
          <w:lang w:eastAsia="x-none"/>
        </w:rPr>
        <w:t xml:space="preserve"> of this dynamic</w:t>
      </w:r>
      <w:r w:rsidR="002841B7" w:rsidRPr="00125AE7">
        <w:rPr>
          <w:rFonts w:ascii="Cambria" w:hAnsi="Cambria"/>
          <w:sz w:val="22"/>
          <w:szCs w:val="22"/>
          <w:lang w:eastAsia="x-none"/>
        </w:rPr>
        <w:t xml:space="preserve">. Tasked with submitting </w:t>
      </w:r>
      <w:r w:rsidR="00F449ED">
        <w:rPr>
          <w:rFonts w:ascii="Cambria" w:hAnsi="Cambria"/>
          <w:sz w:val="22"/>
          <w:szCs w:val="22"/>
          <w:lang w:eastAsia="x-none"/>
        </w:rPr>
        <w:t xml:space="preserve">the </w:t>
      </w:r>
      <w:r w:rsidR="002841B7" w:rsidRPr="00125AE7">
        <w:rPr>
          <w:rFonts w:ascii="Cambria" w:hAnsi="Cambria"/>
          <w:sz w:val="22"/>
          <w:szCs w:val="22"/>
          <w:lang w:eastAsia="x-none"/>
        </w:rPr>
        <w:t>regulatory comments</w:t>
      </w:r>
      <w:r w:rsidR="00B474A6" w:rsidRPr="00125AE7">
        <w:rPr>
          <w:rFonts w:ascii="Cambria" w:hAnsi="Cambria"/>
          <w:sz w:val="22"/>
          <w:szCs w:val="22"/>
          <w:lang w:eastAsia="x-none"/>
        </w:rPr>
        <w:t xml:space="preserve"> of a </w:t>
      </w:r>
      <w:r w:rsidR="00F449ED">
        <w:rPr>
          <w:rFonts w:ascii="Cambria" w:hAnsi="Cambria"/>
          <w:sz w:val="22"/>
          <w:szCs w:val="22"/>
          <w:lang w:eastAsia="x-none"/>
        </w:rPr>
        <w:t>CNDP</w:t>
      </w:r>
      <w:r w:rsidR="00B474A6" w:rsidRPr="00125AE7">
        <w:rPr>
          <w:rFonts w:ascii="Cambria" w:hAnsi="Cambria"/>
          <w:sz w:val="22"/>
          <w:szCs w:val="22"/>
          <w:lang w:eastAsia="x-none"/>
        </w:rPr>
        <w:t xml:space="preserve"> funded working group</w:t>
      </w:r>
      <w:r w:rsidR="002841B7" w:rsidRPr="00125AE7">
        <w:rPr>
          <w:rFonts w:ascii="Cambria" w:hAnsi="Cambria"/>
          <w:sz w:val="22"/>
          <w:szCs w:val="22"/>
          <w:lang w:eastAsia="x-none"/>
        </w:rPr>
        <w:t xml:space="preserve"> during federal ACA implementation, LAC accepted technical assistance that, in retrospect, the organization clearly did not want or think it needed. It </w:t>
      </w:r>
      <w:r w:rsidR="00E44B8D" w:rsidRPr="00125AE7">
        <w:rPr>
          <w:rFonts w:ascii="Cambria" w:hAnsi="Cambria"/>
          <w:sz w:val="22"/>
          <w:szCs w:val="22"/>
          <w:lang w:eastAsia="x-none"/>
        </w:rPr>
        <w:t>then ignored</w:t>
      </w:r>
      <w:r w:rsidR="00A6772E" w:rsidRPr="00125AE7">
        <w:rPr>
          <w:rFonts w:ascii="Cambria" w:hAnsi="Cambria"/>
          <w:sz w:val="22"/>
          <w:szCs w:val="22"/>
          <w:lang w:eastAsia="x-none"/>
        </w:rPr>
        <w:t xml:space="preserve"> the advice </w:t>
      </w:r>
      <w:r w:rsidR="002841B7" w:rsidRPr="00125AE7">
        <w:rPr>
          <w:rFonts w:ascii="Cambria" w:hAnsi="Cambria"/>
          <w:sz w:val="22"/>
          <w:szCs w:val="22"/>
          <w:lang w:eastAsia="x-none"/>
        </w:rPr>
        <w:t xml:space="preserve">of a mainstream health care grantee </w:t>
      </w:r>
      <w:r w:rsidR="00B474A6" w:rsidRPr="00125AE7">
        <w:rPr>
          <w:rFonts w:ascii="Cambria" w:hAnsi="Cambria"/>
          <w:sz w:val="22"/>
          <w:szCs w:val="22"/>
          <w:lang w:eastAsia="x-none"/>
        </w:rPr>
        <w:t xml:space="preserve">that </w:t>
      </w:r>
      <w:r w:rsidR="002841B7" w:rsidRPr="00125AE7">
        <w:rPr>
          <w:rFonts w:ascii="Cambria" w:hAnsi="Cambria"/>
          <w:sz w:val="22"/>
          <w:szCs w:val="22"/>
          <w:lang w:eastAsia="x-none"/>
        </w:rPr>
        <w:t>CN</w:t>
      </w:r>
      <w:r w:rsidR="00CA0120" w:rsidRPr="00125AE7">
        <w:rPr>
          <w:rFonts w:ascii="Cambria" w:hAnsi="Cambria"/>
          <w:sz w:val="22"/>
          <w:szCs w:val="22"/>
          <w:lang w:eastAsia="x-none"/>
        </w:rPr>
        <w:t>DP</w:t>
      </w:r>
      <w:r w:rsidR="00B474A6" w:rsidRPr="00125AE7">
        <w:rPr>
          <w:rFonts w:ascii="Cambria" w:hAnsi="Cambria"/>
          <w:sz w:val="22"/>
          <w:szCs w:val="22"/>
          <w:lang w:eastAsia="x-none"/>
        </w:rPr>
        <w:t xml:space="preserve"> had funded to assist LAC </w:t>
      </w:r>
      <w:r w:rsidR="00A6772E" w:rsidRPr="00125AE7">
        <w:rPr>
          <w:rFonts w:ascii="Cambria" w:hAnsi="Cambria"/>
          <w:sz w:val="22"/>
          <w:szCs w:val="22"/>
          <w:lang w:eastAsia="x-none"/>
        </w:rPr>
        <w:t>and</w:t>
      </w:r>
      <w:r w:rsidR="00B474A6" w:rsidRPr="00125AE7">
        <w:rPr>
          <w:rFonts w:ascii="Cambria" w:hAnsi="Cambria"/>
          <w:sz w:val="22"/>
          <w:szCs w:val="22"/>
          <w:lang w:eastAsia="x-none"/>
        </w:rPr>
        <w:t>,</w:t>
      </w:r>
      <w:r w:rsidR="00A6772E" w:rsidRPr="00125AE7">
        <w:rPr>
          <w:rFonts w:ascii="Cambria" w:hAnsi="Cambria"/>
          <w:sz w:val="22"/>
          <w:szCs w:val="22"/>
          <w:lang w:eastAsia="x-none"/>
        </w:rPr>
        <w:t xml:space="preserve"> as a result</w:t>
      </w:r>
      <w:r w:rsidR="00B474A6" w:rsidRPr="00125AE7">
        <w:rPr>
          <w:rFonts w:ascii="Cambria" w:hAnsi="Cambria"/>
          <w:sz w:val="22"/>
          <w:szCs w:val="22"/>
          <w:lang w:eastAsia="x-none"/>
        </w:rPr>
        <w:t>,</w:t>
      </w:r>
      <w:r w:rsidR="00A6772E" w:rsidRPr="00125AE7">
        <w:rPr>
          <w:rFonts w:ascii="Cambria" w:hAnsi="Cambria"/>
          <w:sz w:val="22"/>
          <w:szCs w:val="22"/>
          <w:lang w:eastAsia="x-none"/>
        </w:rPr>
        <w:t xml:space="preserve"> sent weak comments that did not truly have group </w:t>
      </w:r>
      <w:r w:rsidR="002841B7" w:rsidRPr="00125AE7">
        <w:rPr>
          <w:rFonts w:ascii="Cambria" w:hAnsi="Cambria"/>
          <w:sz w:val="22"/>
          <w:szCs w:val="22"/>
          <w:lang w:eastAsia="x-none"/>
        </w:rPr>
        <w:t>consensus</w:t>
      </w:r>
      <w:r w:rsidR="00A6772E" w:rsidRPr="00125AE7">
        <w:rPr>
          <w:rFonts w:ascii="Cambria" w:hAnsi="Cambria"/>
          <w:sz w:val="22"/>
          <w:szCs w:val="22"/>
          <w:lang w:eastAsia="x-none"/>
        </w:rPr>
        <w:t xml:space="preserve">. </w:t>
      </w:r>
    </w:p>
    <w:p w14:paraId="7BD5DA2C" w14:textId="77777777" w:rsidR="00B474A6" w:rsidRPr="00125AE7" w:rsidRDefault="00B474A6" w:rsidP="00125AE7">
      <w:pPr>
        <w:pStyle w:val="ListParagraph"/>
        <w:ind w:left="0"/>
        <w:rPr>
          <w:rFonts w:ascii="Cambria" w:hAnsi="Cambria"/>
          <w:sz w:val="22"/>
          <w:szCs w:val="22"/>
          <w:lang w:eastAsia="x-none"/>
        </w:rPr>
      </w:pPr>
    </w:p>
    <w:p w14:paraId="561FB821" w14:textId="59F4BBB4" w:rsidR="009A3715" w:rsidRPr="00125AE7" w:rsidRDefault="00A6772E" w:rsidP="00125AE7">
      <w:pPr>
        <w:pStyle w:val="ListParagraph"/>
        <w:ind w:left="0"/>
        <w:rPr>
          <w:rFonts w:ascii="Cambria" w:hAnsi="Cambria"/>
          <w:sz w:val="22"/>
          <w:szCs w:val="22"/>
          <w:lang w:eastAsia="x-none"/>
        </w:rPr>
      </w:pPr>
      <w:r w:rsidRPr="00125AE7">
        <w:rPr>
          <w:rFonts w:ascii="Cambria" w:hAnsi="Cambria"/>
          <w:sz w:val="22"/>
          <w:szCs w:val="22"/>
          <w:lang w:eastAsia="x-none"/>
        </w:rPr>
        <w:t xml:space="preserve">Other grants </w:t>
      </w:r>
      <w:r w:rsidR="00B2103B">
        <w:rPr>
          <w:rFonts w:ascii="Cambria" w:hAnsi="Cambria"/>
          <w:sz w:val="22"/>
          <w:szCs w:val="22"/>
          <w:lang w:eastAsia="x-none"/>
        </w:rPr>
        <w:t xml:space="preserve">also </w:t>
      </w:r>
      <w:r w:rsidRPr="00125AE7">
        <w:rPr>
          <w:rFonts w:ascii="Cambria" w:hAnsi="Cambria"/>
          <w:sz w:val="22"/>
          <w:szCs w:val="22"/>
          <w:lang w:eastAsia="x-none"/>
        </w:rPr>
        <w:t>failed</w:t>
      </w:r>
      <w:r w:rsidR="00E11C17">
        <w:rPr>
          <w:rFonts w:ascii="Cambria" w:hAnsi="Cambria"/>
          <w:sz w:val="22"/>
          <w:szCs w:val="22"/>
          <w:lang w:eastAsia="x-none"/>
        </w:rPr>
        <w:t xml:space="preserve">.  A grant to </w:t>
      </w:r>
      <w:r w:rsidR="00E96DA9" w:rsidRPr="00125AE7">
        <w:rPr>
          <w:rFonts w:ascii="Cambria" w:hAnsi="Cambria"/>
          <w:sz w:val="22"/>
          <w:szCs w:val="22"/>
          <w:lang w:eastAsia="x-none"/>
        </w:rPr>
        <w:t>Brandeis</w:t>
      </w:r>
      <w:r w:rsidR="009A3715" w:rsidRPr="00125AE7">
        <w:rPr>
          <w:rFonts w:ascii="Cambria" w:hAnsi="Cambria"/>
          <w:sz w:val="22"/>
          <w:szCs w:val="22"/>
          <w:lang w:eastAsia="x-none"/>
        </w:rPr>
        <w:t xml:space="preserve"> University</w:t>
      </w:r>
      <w:r w:rsidR="00792E2B" w:rsidRPr="00125AE7">
        <w:rPr>
          <w:rFonts w:ascii="Cambria" w:hAnsi="Cambria"/>
          <w:sz w:val="22"/>
          <w:szCs w:val="22"/>
          <w:lang w:eastAsia="x-none"/>
        </w:rPr>
        <w:t xml:space="preserve"> </w:t>
      </w:r>
      <w:r w:rsidR="00B474A6" w:rsidRPr="00125AE7">
        <w:rPr>
          <w:rFonts w:ascii="Cambria" w:hAnsi="Cambria"/>
          <w:sz w:val="22"/>
          <w:szCs w:val="22"/>
          <w:lang w:eastAsia="x-none"/>
        </w:rPr>
        <w:t>and an effort with Hunter College</w:t>
      </w:r>
      <w:r w:rsidR="00E11C17">
        <w:rPr>
          <w:rFonts w:ascii="Cambria" w:hAnsi="Cambria"/>
          <w:sz w:val="22"/>
          <w:szCs w:val="22"/>
          <w:lang w:eastAsia="x-none"/>
        </w:rPr>
        <w:t xml:space="preserve"> failed b</w:t>
      </w:r>
      <w:r w:rsidR="00B474A6" w:rsidRPr="00125AE7">
        <w:rPr>
          <w:rFonts w:ascii="Cambria" w:hAnsi="Cambria"/>
          <w:sz w:val="22"/>
          <w:szCs w:val="22"/>
          <w:lang w:eastAsia="x-none"/>
        </w:rPr>
        <w:t xml:space="preserve">ecause, </w:t>
      </w:r>
      <w:r w:rsidR="00F449ED">
        <w:rPr>
          <w:rFonts w:ascii="Cambria" w:hAnsi="Cambria"/>
          <w:sz w:val="22"/>
          <w:szCs w:val="22"/>
          <w:lang w:eastAsia="x-none"/>
        </w:rPr>
        <w:t>notwithstanding</w:t>
      </w:r>
      <w:r w:rsidR="00F449ED" w:rsidRPr="00125AE7">
        <w:rPr>
          <w:rFonts w:ascii="Cambria" w:hAnsi="Cambria"/>
          <w:sz w:val="22"/>
          <w:szCs w:val="22"/>
          <w:lang w:eastAsia="x-none"/>
        </w:rPr>
        <w:t xml:space="preserve"> </w:t>
      </w:r>
      <w:r w:rsidR="00B474A6" w:rsidRPr="00125AE7">
        <w:rPr>
          <w:rFonts w:ascii="Cambria" w:hAnsi="Cambria"/>
          <w:sz w:val="22"/>
          <w:szCs w:val="22"/>
          <w:lang w:eastAsia="x-none"/>
        </w:rPr>
        <w:t>these grantees</w:t>
      </w:r>
      <w:r w:rsidR="00CB7EB4">
        <w:rPr>
          <w:rFonts w:ascii="Cambria" w:hAnsi="Cambria"/>
          <w:sz w:val="22"/>
          <w:szCs w:val="22"/>
          <w:lang w:eastAsia="x-none"/>
        </w:rPr>
        <w:t>’</w:t>
      </w:r>
      <w:r w:rsidR="00B474A6" w:rsidRPr="00125AE7">
        <w:rPr>
          <w:rFonts w:ascii="Cambria" w:hAnsi="Cambria"/>
          <w:sz w:val="22"/>
          <w:szCs w:val="22"/>
          <w:lang w:eastAsia="x-none"/>
        </w:rPr>
        <w:t xml:space="preserve"> high level </w:t>
      </w:r>
      <w:r w:rsidR="00F449ED">
        <w:rPr>
          <w:rFonts w:ascii="Cambria" w:hAnsi="Cambria"/>
          <w:sz w:val="22"/>
          <w:szCs w:val="22"/>
          <w:lang w:eastAsia="x-none"/>
        </w:rPr>
        <w:t xml:space="preserve">of </w:t>
      </w:r>
      <w:r w:rsidR="00B474A6" w:rsidRPr="00125AE7">
        <w:rPr>
          <w:rFonts w:ascii="Cambria" w:hAnsi="Cambria"/>
          <w:sz w:val="22"/>
          <w:szCs w:val="22"/>
          <w:lang w:eastAsia="x-none"/>
        </w:rPr>
        <w:t xml:space="preserve">expertise and </w:t>
      </w:r>
      <w:r w:rsidR="00F449ED">
        <w:rPr>
          <w:rFonts w:ascii="Cambria" w:hAnsi="Cambria"/>
          <w:sz w:val="22"/>
          <w:szCs w:val="22"/>
          <w:lang w:eastAsia="x-none"/>
        </w:rPr>
        <w:t>access to</w:t>
      </w:r>
      <w:r w:rsidR="00B474A6" w:rsidRPr="00125AE7">
        <w:rPr>
          <w:rFonts w:ascii="Cambria" w:hAnsi="Cambria"/>
          <w:sz w:val="22"/>
          <w:szCs w:val="22"/>
          <w:lang w:eastAsia="x-none"/>
        </w:rPr>
        <w:t xml:space="preserve"> government, they were operating without a constituency</w:t>
      </w:r>
      <w:r w:rsidR="00B2103B">
        <w:rPr>
          <w:rFonts w:ascii="Cambria" w:hAnsi="Cambria"/>
          <w:sz w:val="22"/>
          <w:szCs w:val="22"/>
          <w:lang w:eastAsia="x-none"/>
        </w:rPr>
        <w:t xml:space="preserve">.  We learned how essential this </w:t>
      </w:r>
      <w:r w:rsidR="00F449ED">
        <w:rPr>
          <w:rFonts w:ascii="Cambria" w:hAnsi="Cambria"/>
          <w:sz w:val="22"/>
          <w:szCs w:val="22"/>
          <w:lang w:eastAsia="x-none"/>
        </w:rPr>
        <w:t>was</w:t>
      </w:r>
      <w:r w:rsidR="00B2103B">
        <w:rPr>
          <w:rFonts w:ascii="Cambria" w:hAnsi="Cambria"/>
          <w:sz w:val="22"/>
          <w:szCs w:val="22"/>
          <w:lang w:eastAsia="x-none"/>
        </w:rPr>
        <w:t xml:space="preserve"> </w:t>
      </w:r>
      <w:r w:rsidR="00B474A6" w:rsidRPr="00125AE7">
        <w:rPr>
          <w:rFonts w:ascii="Cambria" w:hAnsi="Cambria"/>
          <w:sz w:val="22"/>
          <w:szCs w:val="22"/>
          <w:lang w:eastAsia="x-none"/>
        </w:rPr>
        <w:t>to the success of their projects.</w:t>
      </w:r>
      <w:r w:rsidR="00E11C17">
        <w:rPr>
          <w:rFonts w:ascii="Cambria" w:hAnsi="Cambria"/>
          <w:sz w:val="22"/>
          <w:szCs w:val="22"/>
          <w:lang w:eastAsia="x-none"/>
        </w:rPr>
        <w:t xml:space="preserve"> </w:t>
      </w:r>
      <w:r w:rsidR="00A80FD8" w:rsidRPr="00125AE7">
        <w:rPr>
          <w:rFonts w:ascii="Cambria" w:hAnsi="Cambria"/>
          <w:sz w:val="22"/>
          <w:szCs w:val="22"/>
          <w:lang w:eastAsia="x-none"/>
        </w:rPr>
        <w:t>We had a hard time</w:t>
      </w:r>
      <w:r w:rsidR="00E11C17">
        <w:rPr>
          <w:rFonts w:ascii="Cambria" w:hAnsi="Cambria"/>
          <w:sz w:val="22"/>
          <w:szCs w:val="22"/>
          <w:lang w:eastAsia="x-none"/>
        </w:rPr>
        <w:t xml:space="preserve">, generally, </w:t>
      </w:r>
      <w:r w:rsidR="00A80FD8" w:rsidRPr="00125AE7">
        <w:rPr>
          <w:rFonts w:ascii="Cambria" w:hAnsi="Cambria"/>
          <w:sz w:val="22"/>
          <w:szCs w:val="22"/>
          <w:lang w:eastAsia="x-none"/>
        </w:rPr>
        <w:t>integrating academic partners</w:t>
      </w:r>
      <w:r w:rsidR="003926D4" w:rsidRPr="00125AE7">
        <w:rPr>
          <w:rFonts w:ascii="Cambria" w:hAnsi="Cambria"/>
          <w:sz w:val="22"/>
          <w:szCs w:val="22"/>
          <w:lang w:eastAsia="x-none"/>
        </w:rPr>
        <w:t>’</w:t>
      </w:r>
      <w:r w:rsidR="00A80FD8" w:rsidRPr="00125AE7">
        <w:rPr>
          <w:rFonts w:ascii="Cambria" w:hAnsi="Cambria"/>
          <w:sz w:val="22"/>
          <w:szCs w:val="22"/>
          <w:lang w:eastAsia="x-none"/>
        </w:rPr>
        <w:t xml:space="preserve"> work into the national field strategies. </w:t>
      </w:r>
      <w:r w:rsidR="009A3715" w:rsidRPr="00125AE7">
        <w:rPr>
          <w:rFonts w:ascii="Cambria" w:hAnsi="Cambria"/>
          <w:sz w:val="22"/>
          <w:szCs w:val="22"/>
          <w:lang w:eastAsia="x-none"/>
        </w:rPr>
        <w:t xml:space="preserve">SUD and drug policy partners </w:t>
      </w:r>
      <w:r w:rsidR="00471E57" w:rsidRPr="00125AE7">
        <w:rPr>
          <w:rFonts w:ascii="Cambria" w:hAnsi="Cambria"/>
          <w:sz w:val="22"/>
          <w:szCs w:val="22"/>
          <w:lang w:eastAsia="x-none"/>
        </w:rPr>
        <w:t>were often</w:t>
      </w:r>
      <w:r w:rsidR="009A3715" w:rsidRPr="00125AE7">
        <w:rPr>
          <w:rFonts w:ascii="Cambria" w:hAnsi="Cambria"/>
          <w:sz w:val="22"/>
          <w:szCs w:val="22"/>
          <w:lang w:eastAsia="x-none"/>
        </w:rPr>
        <w:t xml:space="preserve"> resistant </w:t>
      </w:r>
      <w:r w:rsidR="00A80FD8" w:rsidRPr="00125AE7">
        <w:rPr>
          <w:rFonts w:ascii="Cambria" w:hAnsi="Cambria"/>
          <w:sz w:val="22"/>
          <w:szCs w:val="22"/>
          <w:lang w:eastAsia="x-none"/>
        </w:rPr>
        <w:t xml:space="preserve">to these partnerships and </w:t>
      </w:r>
      <w:r w:rsidR="009A3715" w:rsidRPr="00125AE7">
        <w:rPr>
          <w:rFonts w:ascii="Cambria" w:hAnsi="Cambria"/>
          <w:sz w:val="22"/>
          <w:szCs w:val="22"/>
          <w:lang w:eastAsia="x-none"/>
        </w:rPr>
        <w:t xml:space="preserve">sometimes </w:t>
      </w:r>
      <w:r w:rsidR="00E11C17">
        <w:rPr>
          <w:rFonts w:ascii="Cambria" w:hAnsi="Cambria"/>
          <w:sz w:val="22"/>
          <w:szCs w:val="22"/>
          <w:lang w:eastAsia="x-none"/>
        </w:rPr>
        <w:t xml:space="preserve">appeared to </w:t>
      </w:r>
      <w:r w:rsidR="00A80FD8" w:rsidRPr="00125AE7">
        <w:rPr>
          <w:rFonts w:ascii="Cambria" w:hAnsi="Cambria"/>
          <w:sz w:val="22"/>
          <w:szCs w:val="22"/>
          <w:lang w:eastAsia="x-none"/>
        </w:rPr>
        <w:t>fear</w:t>
      </w:r>
      <w:r w:rsidR="00E11C17">
        <w:rPr>
          <w:rFonts w:ascii="Cambria" w:hAnsi="Cambria"/>
          <w:sz w:val="22"/>
          <w:szCs w:val="22"/>
          <w:lang w:eastAsia="x-none"/>
        </w:rPr>
        <w:t xml:space="preserve"> that</w:t>
      </w:r>
      <w:r w:rsidR="00A80FD8" w:rsidRPr="00125AE7">
        <w:rPr>
          <w:rFonts w:ascii="Cambria" w:hAnsi="Cambria"/>
          <w:sz w:val="22"/>
          <w:szCs w:val="22"/>
          <w:lang w:eastAsia="x-none"/>
        </w:rPr>
        <w:t xml:space="preserve"> their </w:t>
      </w:r>
      <w:r w:rsidR="003926D4" w:rsidRPr="00125AE7">
        <w:rPr>
          <w:rFonts w:ascii="Cambria" w:hAnsi="Cambria"/>
          <w:sz w:val="22"/>
          <w:szCs w:val="22"/>
          <w:lang w:eastAsia="x-none"/>
        </w:rPr>
        <w:t xml:space="preserve">own </w:t>
      </w:r>
      <w:r w:rsidR="00A80FD8" w:rsidRPr="00125AE7">
        <w:rPr>
          <w:rFonts w:ascii="Cambria" w:hAnsi="Cambria"/>
          <w:sz w:val="22"/>
          <w:szCs w:val="22"/>
          <w:lang w:eastAsia="x-none"/>
        </w:rPr>
        <w:t xml:space="preserve">expertise </w:t>
      </w:r>
      <w:r w:rsidR="00E11C17">
        <w:rPr>
          <w:rFonts w:ascii="Cambria" w:hAnsi="Cambria"/>
          <w:sz w:val="22"/>
          <w:szCs w:val="22"/>
          <w:lang w:eastAsia="x-none"/>
        </w:rPr>
        <w:t xml:space="preserve">was being questioned </w:t>
      </w:r>
      <w:r w:rsidR="009A3715" w:rsidRPr="00125AE7">
        <w:rPr>
          <w:rFonts w:ascii="Cambria" w:hAnsi="Cambria"/>
          <w:sz w:val="22"/>
          <w:szCs w:val="22"/>
          <w:lang w:eastAsia="x-none"/>
        </w:rPr>
        <w:t>and</w:t>
      </w:r>
      <w:r w:rsidR="00E11C17">
        <w:rPr>
          <w:rFonts w:ascii="Cambria" w:hAnsi="Cambria"/>
          <w:sz w:val="22"/>
          <w:szCs w:val="22"/>
          <w:lang w:eastAsia="x-none"/>
        </w:rPr>
        <w:t>, as a result, their</w:t>
      </w:r>
      <w:r w:rsidR="009A3715" w:rsidRPr="00125AE7">
        <w:rPr>
          <w:rFonts w:ascii="Cambria" w:hAnsi="Cambria"/>
          <w:sz w:val="22"/>
          <w:szCs w:val="22"/>
          <w:lang w:eastAsia="x-none"/>
        </w:rPr>
        <w:t xml:space="preserve"> standing </w:t>
      </w:r>
      <w:r w:rsidR="00E11C17">
        <w:rPr>
          <w:rFonts w:ascii="Cambria" w:hAnsi="Cambria"/>
          <w:sz w:val="22"/>
          <w:szCs w:val="22"/>
          <w:lang w:eastAsia="x-none"/>
        </w:rPr>
        <w:t>with OSF put</w:t>
      </w:r>
      <w:r w:rsidR="009A3715" w:rsidRPr="00125AE7">
        <w:rPr>
          <w:rFonts w:ascii="Cambria" w:hAnsi="Cambria"/>
          <w:sz w:val="22"/>
          <w:szCs w:val="22"/>
          <w:lang w:eastAsia="x-none"/>
        </w:rPr>
        <w:t xml:space="preserve"> in jeopardy</w:t>
      </w:r>
      <w:r w:rsidR="00E11C17">
        <w:rPr>
          <w:rFonts w:ascii="Cambria" w:hAnsi="Cambria"/>
          <w:sz w:val="22"/>
          <w:szCs w:val="22"/>
          <w:lang w:eastAsia="x-none"/>
        </w:rPr>
        <w:t xml:space="preserve">.  At other times, </w:t>
      </w:r>
      <w:r w:rsidR="00B2103B">
        <w:rPr>
          <w:rFonts w:ascii="Cambria" w:hAnsi="Cambria"/>
          <w:sz w:val="22"/>
          <w:szCs w:val="22"/>
          <w:lang w:eastAsia="x-none"/>
        </w:rPr>
        <w:t>advocacy grantee</w:t>
      </w:r>
      <w:r w:rsidR="00F449ED">
        <w:rPr>
          <w:rFonts w:ascii="Cambria" w:hAnsi="Cambria"/>
          <w:sz w:val="22"/>
          <w:szCs w:val="22"/>
          <w:lang w:eastAsia="x-none"/>
        </w:rPr>
        <w:t>s</w:t>
      </w:r>
      <w:r w:rsidR="00B2103B">
        <w:rPr>
          <w:rFonts w:ascii="Cambria" w:hAnsi="Cambria"/>
          <w:sz w:val="22"/>
          <w:szCs w:val="22"/>
          <w:lang w:eastAsia="x-none"/>
        </w:rPr>
        <w:t xml:space="preserve"> </w:t>
      </w:r>
      <w:r w:rsidR="009A3715" w:rsidRPr="00125AE7">
        <w:rPr>
          <w:rFonts w:ascii="Cambria" w:hAnsi="Cambria"/>
          <w:sz w:val="22"/>
          <w:szCs w:val="22"/>
          <w:lang w:eastAsia="x-none"/>
        </w:rPr>
        <w:t xml:space="preserve">simply </w:t>
      </w:r>
      <w:r w:rsidR="00B2103B">
        <w:rPr>
          <w:rFonts w:ascii="Cambria" w:hAnsi="Cambria"/>
          <w:sz w:val="22"/>
          <w:szCs w:val="22"/>
          <w:lang w:eastAsia="x-none"/>
        </w:rPr>
        <w:t xml:space="preserve">seemed to </w:t>
      </w:r>
      <w:r w:rsidR="009A3715" w:rsidRPr="00125AE7">
        <w:rPr>
          <w:rFonts w:ascii="Cambria" w:hAnsi="Cambria"/>
          <w:sz w:val="22"/>
          <w:szCs w:val="22"/>
          <w:lang w:eastAsia="x-none"/>
        </w:rPr>
        <w:t>not see the relevance</w:t>
      </w:r>
      <w:r w:rsidR="00E11C17">
        <w:rPr>
          <w:rFonts w:ascii="Cambria" w:hAnsi="Cambria"/>
          <w:sz w:val="22"/>
          <w:szCs w:val="22"/>
          <w:lang w:eastAsia="x-none"/>
        </w:rPr>
        <w:t xml:space="preserve"> of collaboration</w:t>
      </w:r>
      <w:r w:rsidR="009A3715" w:rsidRPr="00125AE7">
        <w:rPr>
          <w:rFonts w:ascii="Cambria" w:hAnsi="Cambria"/>
          <w:sz w:val="22"/>
          <w:szCs w:val="22"/>
          <w:lang w:eastAsia="x-none"/>
        </w:rPr>
        <w:t>.</w:t>
      </w:r>
      <w:r w:rsidR="00471E57" w:rsidRPr="00125AE7">
        <w:rPr>
          <w:rFonts w:ascii="Cambria" w:hAnsi="Cambria"/>
          <w:sz w:val="22"/>
          <w:szCs w:val="22"/>
          <w:lang w:eastAsia="x-none"/>
        </w:rPr>
        <w:t xml:space="preserve"> </w:t>
      </w:r>
      <w:r w:rsidR="00B2103B">
        <w:rPr>
          <w:rFonts w:ascii="Cambria" w:hAnsi="Cambria"/>
          <w:sz w:val="22"/>
          <w:szCs w:val="22"/>
          <w:lang w:eastAsia="x-none"/>
        </w:rPr>
        <w:t xml:space="preserve">Ultimately, we interacted with </w:t>
      </w:r>
      <w:r w:rsidR="00A80FD8" w:rsidRPr="00125AE7">
        <w:rPr>
          <w:rFonts w:ascii="Cambria" w:hAnsi="Cambria"/>
          <w:sz w:val="22"/>
          <w:szCs w:val="22"/>
          <w:lang w:eastAsia="x-none"/>
        </w:rPr>
        <w:t>academic partners differently and either use their work  internal</w:t>
      </w:r>
      <w:r w:rsidR="00B2103B">
        <w:rPr>
          <w:rFonts w:ascii="Cambria" w:hAnsi="Cambria"/>
          <w:sz w:val="22"/>
          <w:szCs w:val="22"/>
          <w:lang w:eastAsia="x-none"/>
        </w:rPr>
        <w:t>ly</w:t>
      </w:r>
      <w:r w:rsidR="00A80FD8" w:rsidRPr="00125AE7">
        <w:rPr>
          <w:rFonts w:ascii="Cambria" w:hAnsi="Cambria"/>
          <w:sz w:val="22"/>
          <w:szCs w:val="22"/>
          <w:lang w:eastAsia="x-none"/>
        </w:rPr>
        <w:t xml:space="preserve"> (GW paper </w:t>
      </w:r>
      <w:r w:rsidR="00D268EA">
        <w:rPr>
          <w:rFonts w:ascii="Cambria" w:hAnsi="Cambria"/>
          <w:sz w:val="22"/>
          <w:szCs w:val="22"/>
          <w:lang w:eastAsia="x-none"/>
        </w:rPr>
        <w:t>covering</w:t>
      </w:r>
      <w:r w:rsidR="00D268EA" w:rsidRPr="00125AE7">
        <w:rPr>
          <w:rFonts w:ascii="Cambria" w:hAnsi="Cambria"/>
          <w:sz w:val="22"/>
          <w:szCs w:val="22"/>
          <w:lang w:eastAsia="x-none"/>
        </w:rPr>
        <w:t xml:space="preserve"> </w:t>
      </w:r>
      <w:r w:rsidR="00A80FD8" w:rsidRPr="00125AE7">
        <w:rPr>
          <w:rFonts w:ascii="Cambria" w:hAnsi="Cambria"/>
          <w:sz w:val="22"/>
          <w:szCs w:val="22"/>
          <w:lang w:eastAsia="x-none"/>
        </w:rPr>
        <w:t xml:space="preserve">new and unusual health allies led to a grant to </w:t>
      </w:r>
      <w:r w:rsidR="00D268EA" w:rsidRPr="00D268EA">
        <w:rPr>
          <w:rFonts w:ascii="Cambria" w:hAnsi="Cambria"/>
          <w:sz w:val="22"/>
          <w:szCs w:val="22"/>
          <w:lang w:eastAsia="x-none"/>
        </w:rPr>
        <w:t xml:space="preserve">Association for Community Affiliated Plans </w:t>
      </w:r>
      <w:r w:rsidR="00A80FD8" w:rsidRPr="00125AE7">
        <w:rPr>
          <w:rFonts w:ascii="Cambria" w:hAnsi="Cambria"/>
          <w:sz w:val="22"/>
          <w:szCs w:val="22"/>
          <w:lang w:eastAsia="x-none"/>
        </w:rPr>
        <w:t xml:space="preserve">) or </w:t>
      </w:r>
      <w:r w:rsidR="00B2103B">
        <w:rPr>
          <w:rFonts w:ascii="Cambria" w:hAnsi="Cambria"/>
          <w:sz w:val="22"/>
          <w:szCs w:val="22"/>
          <w:lang w:eastAsia="x-none"/>
        </w:rPr>
        <w:t xml:space="preserve">offered their work to </w:t>
      </w:r>
      <w:r w:rsidR="00A80FD8" w:rsidRPr="00125AE7">
        <w:rPr>
          <w:rFonts w:ascii="Cambria" w:hAnsi="Cambria"/>
          <w:sz w:val="22"/>
          <w:szCs w:val="22"/>
          <w:lang w:eastAsia="x-none"/>
        </w:rPr>
        <w:t xml:space="preserve">newer </w:t>
      </w:r>
      <w:r w:rsidR="00E543BF" w:rsidRPr="00125AE7">
        <w:rPr>
          <w:rFonts w:ascii="Cambria" w:hAnsi="Cambria"/>
          <w:sz w:val="22"/>
          <w:szCs w:val="22"/>
          <w:lang w:eastAsia="x-none"/>
        </w:rPr>
        <w:t>grantees</w:t>
      </w:r>
      <w:r w:rsidR="00B2103B">
        <w:rPr>
          <w:rFonts w:ascii="Cambria" w:hAnsi="Cambria"/>
          <w:sz w:val="22"/>
          <w:szCs w:val="22"/>
          <w:lang w:eastAsia="x-none"/>
        </w:rPr>
        <w:t xml:space="preserve"> </w:t>
      </w:r>
      <w:r w:rsidR="00A80FD8" w:rsidRPr="00125AE7">
        <w:rPr>
          <w:rFonts w:ascii="Cambria" w:hAnsi="Cambria"/>
          <w:sz w:val="22"/>
          <w:szCs w:val="22"/>
          <w:lang w:eastAsia="x-none"/>
        </w:rPr>
        <w:t xml:space="preserve">(GW work on existing </w:t>
      </w:r>
      <w:r w:rsidR="009A3715" w:rsidRPr="00125AE7">
        <w:rPr>
          <w:rFonts w:ascii="Cambria" w:hAnsi="Cambria"/>
          <w:sz w:val="22"/>
          <w:szCs w:val="22"/>
          <w:lang w:eastAsia="x-none"/>
        </w:rPr>
        <w:t>Medicaid</w:t>
      </w:r>
      <w:r w:rsidR="00A80FD8" w:rsidRPr="00125AE7">
        <w:rPr>
          <w:rFonts w:ascii="Cambria" w:hAnsi="Cambria"/>
          <w:sz w:val="22"/>
          <w:szCs w:val="22"/>
          <w:lang w:eastAsia="x-none"/>
        </w:rPr>
        <w:t xml:space="preserve"> services used by </w:t>
      </w:r>
      <w:r w:rsidR="00E543BF" w:rsidRPr="00125AE7">
        <w:rPr>
          <w:rFonts w:ascii="Cambria" w:hAnsi="Cambria"/>
          <w:sz w:val="22"/>
          <w:szCs w:val="22"/>
          <w:lang w:eastAsia="x-none"/>
        </w:rPr>
        <w:t>Community</w:t>
      </w:r>
      <w:r w:rsidR="00A80FD8" w:rsidRPr="00125AE7">
        <w:rPr>
          <w:rFonts w:ascii="Cambria" w:hAnsi="Cambria"/>
          <w:sz w:val="22"/>
          <w:szCs w:val="22"/>
          <w:lang w:eastAsia="x-none"/>
        </w:rPr>
        <w:t xml:space="preserve"> Catalyst</w:t>
      </w:r>
      <w:r w:rsidR="00B2103B">
        <w:rPr>
          <w:rFonts w:ascii="Cambria" w:hAnsi="Cambria"/>
          <w:sz w:val="22"/>
          <w:szCs w:val="22"/>
          <w:lang w:eastAsia="x-none"/>
        </w:rPr>
        <w:t>)</w:t>
      </w:r>
      <w:r w:rsidR="009A3715" w:rsidRPr="00125AE7">
        <w:rPr>
          <w:rFonts w:ascii="Cambria" w:hAnsi="Cambria"/>
          <w:sz w:val="22"/>
          <w:szCs w:val="22"/>
          <w:lang w:eastAsia="x-none"/>
        </w:rPr>
        <w:t>.</w:t>
      </w:r>
      <w:r w:rsidR="00CA0120" w:rsidRPr="00125AE7">
        <w:rPr>
          <w:rFonts w:ascii="Cambria" w:hAnsi="Cambria"/>
          <w:sz w:val="22"/>
          <w:szCs w:val="22"/>
          <w:lang w:eastAsia="x-none"/>
        </w:rPr>
        <w:t xml:space="preserve"> </w:t>
      </w:r>
      <w:r w:rsidR="00B474A6" w:rsidRPr="00125AE7">
        <w:rPr>
          <w:rFonts w:ascii="Cambria" w:hAnsi="Cambria"/>
          <w:sz w:val="22"/>
          <w:szCs w:val="22"/>
          <w:lang w:eastAsia="x-none"/>
        </w:rPr>
        <w:t xml:space="preserve"> </w:t>
      </w:r>
      <w:r w:rsidR="00F449ED">
        <w:rPr>
          <w:rFonts w:ascii="Cambria" w:hAnsi="Cambria"/>
          <w:sz w:val="22"/>
          <w:szCs w:val="22"/>
          <w:lang w:eastAsia="x-none"/>
        </w:rPr>
        <w:t>While t</w:t>
      </w:r>
      <w:r w:rsidR="00B2103B">
        <w:rPr>
          <w:rFonts w:ascii="Cambria" w:hAnsi="Cambria"/>
          <w:sz w:val="22"/>
          <w:szCs w:val="22"/>
          <w:lang w:eastAsia="x-none"/>
        </w:rPr>
        <w:t xml:space="preserve">hese grants did not achieve what we had intended, we gained </w:t>
      </w:r>
      <w:r w:rsidR="00F449ED">
        <w:rPr>
          <w:rFonts w:ascii="Cambria" w:hAnsi="Cambria"/>
          <w:sz w:val="22"/>
          <w:szCs w:val="22"/>
          <w:lang w:eastAsia="x-none"/>
        </w:rPr>
        <w:t>from them an appreciat</w:t>
      </w:r>
      <w:r w:rsidR="00F03F91">
        <w:rPr>
          <w:rFonts w:ascii="Cambria" w:hAnsi="Cambria"/>
          <w:sz w:val="22"/>
          <w:szCs w:val="22"/>
          <w:lang w:eastAsia="x-none"/>
        </w:rPr>
        <w:t xml:space="preserve">ion </w:t>
      </w:r>
      <w:r w:rsidR="00F449ED">
        <w:rPr>
          <w:rFonts w:ascii="Cambria" w:hAnsi="Cambria"/>
          <w:sz w:val="22"/>
          <w:szCs w:val="22"/>
          <w:lang w:eastAsia="x-none"/>
        </w:rPr>
        <w:t xml:space="preserve">of the </w:t>
      </w:r>
      <w:r w:rsidR="00B2103B">
        <w:rPr>
          <w:rFonts w:ascii="Cambria" w:hAnsi="Cambria"/>
          <w:sz w:val="22"/>
          <w:szCs w:val="22"/>
          <w:lang w:eastAsia="x-none"/>
        </w:rPr>
        <w:t>importan</w:t>
      </w:r>
      <w:r w:rsidR="00F449ED">
        <w:rPr>
          <w:rFonts w:ascii="Cambria" w:hAnsi="Cambria"/>
          <w:sz w:val="22"/>
          <w:szCs w:val="22"/>
          <w:lang w:eastAsia="x-none"/>
        </w:rPr>
        <w:t>ce of</w:t>
      </w:r>
      <w:r w:rsidR="00B2103B">
        <w:rPr>
          <w:rFonts w:ascii="Cambria" w:hAnsi="Cambria"/>
          <w:sz w:val="22"/>
          <w:szCs w:val="22"/>
          <w:lang w:eastAsia="x-none"/>
        </w:rPr>
        <w:t xml:space="preserve"> e</w:t>
      </w:r>
      <w:r w:rsidR="0017362F" w:rsidRPr="00125AE7">
        <w:rPr>
          <w:rFonts w:ascii="Cambria" w:hAnsi="Cambria"/>
          <w:sz w:val="22"/>
          <w:szCs w:val="22"/>
          <w:lang w:eastAsia="x-none"/>
        </w:rPr>
        <w:t>xperience</w:t>
      </w:r>
      <w:r w:rsidR="00B2103B">
        <w:rPr>
          <w:rFonts w:ascii="Cambria" w:hAnsi="Cambria"/>
          <w:sz w:val="22"/>
          <w:szCs w:val="22"/>
          <w:lang w:eastAsia="x-none"/>
        </w:rPr>
        <w:t xml:space="preserve"> and </w:t>
      </w:r>
      <w:r w:rsidR="00F449ED">
        <w:rPr>
          <w:rFonts w:ascii="Cambria" w:hAnsi="Cambria"/>
          <w:sz w:val="22"/>
          <w:szCs w:val="22"/>
          <w:lang w:eastAsia="x-none"/>
        </w:rPr>
        <w:t xml:space="preserve">an </w:t>
      </w:r>
      <w:r w:rsidR="00B2103B">
        <w:rPr>
          <w:rFonts w:ascii="Cambria" w:hAnsi="Cambria"/>
          <w:sz w:val="22"/>
          <w:szCs w:val="22"/>
          <w:lang w:eastAsia="x-none"/>
        </w:rPr>
        <w:t>understanding of the need to</w:t>
      </w:r>
      <w:r w:rsidR="003926D4" w:rsidRPr="00125AE7">
        <w:rPr>
          <w:rFonts w:ascii="Cambria" w:hAnsi="Cambria"/>
          <w:sz w:val="22"/>
          <w:szCs w:val="22"/>
          <w:lang w:eastAsia="x-none"/>
        </w:rPr>
        <w:t xml:space="preserve"> objectively</w:t>
      </w:r>
      <w:r w:rsidR="0017362F" w:rsidRPr="00125AE7">
        <w:rPr>
          <w:rFonts w:ascii="Cambria" w:hAnsi="Cambria"/>
          <w:sz w:val="22"/>
          <w:szCs w:val="22"/>
          <w:lang w:eastAsia="x-none"/>
        </w:rPr>
        <w:t xml:space="preserve"> assess the trajectory of CNDP’s work in real-time and </w:t>
      </w:r>
      <w:r w:rsidR="00963556">
        <w:rPr>
          <w:rFonts w:ascii="Cambria" w:hAnsi="Cambria"/>
          <w:sz w:val="22"/>
          <w:szCs w:val="22"/>
          <w:lang w:eastAsia="x-none"/>
        </w:rPr>
        <w:t>to be prepared and wi</w:t>
      </w:r>
      <w:r w:rsidR="00E801E8">
        <w:rPr>
          <w:rFonts w:ascii="Cambria" w:hAnsi="Cambria"/>
          <w:sz w:val="22"/>
          <w:szCs w:val="22"/>
          <w:lang w:eastAsia="x-none"/>
        </w:rPr>
        <w:t>l</w:t>
      </w:r>
      <w:r w:rsidR="00963556">
        <w:rPr>
          <w:rFonts w:ascii="Cambria" w:hAnsi="Cambria"/>
          <w:sz w:val="22"/>
          <w:szCs w:val="22"/>
          <w:lang w:eastAsia="x-none"/>
        </w:rPr>
        <w:t>ling</w:t>
      </w:r>
      <w:r w:rsidR="0017362F" w:rsidRPr="00125AE7">
        <w:rPr>
          <w:rFonts w:ascii="Cambria" w:hAnsi="Cambria"/>
          <w:sz w:val="22"/>
          <w:szCs w:val="22"/>
          <w:lang w:eastAsia="x-none"/>
        </w:rPr>
        <w:t xml:space="preserve"> to </w:t>
      </w:r>
      <w:r w:rsidR="00963556">
        <w:rPr>
          <w:rFonts w:ascii="Cambria" w:hAnsi="Cambria"/>
          <w:sz w:val="22"/>
          <w:szCs w:val="22"/>
          <w:lang w:eastAsia="x-none"/>
        </w:rPr>
        <w:t xml:space="preserve">change </w:t>
      </w:r>
      <w:r w:rsidRPr="00125AE7">
        <w:rPr>
          <w:rFonts w:ascii="Cambria" w:hAnsi="Cambria"/>
          <w:sz w:val="22"/>
          <w:szCs w:val="22"/>
          <w:lang w:eastAsia="x-none"/>
        </w:rPr>
        <w:t>course</w:t>
      </w:r>
      <w:r w:rsidR="003926D4" w:rsidRPr="00125AE7">
        <w:rPr>
          <w:rFonts w:ascii="Cambria" w:hAnsi="Cambria"/>
          <w:sz w:val="22"/>
          <w:szCs w:val="22"/>
          <w:lang w:eastAsia="x-none"/>
        </w:rPr>
        <w:t xml:space="preserve"> </w:t>
      </w:r>
      <w:r w:rsidR="00E801E8">
        <w:rPr>
          <w:rFonts w:ascii="Cambria" w:hAnsi="Cambria"/>
          <w:sz w:val="22"/>
          <w:szCs w:val="22"/>
          <w:lang w:eastAsia="x-none"/>
        </w:rPr>
        <w:t xml:space="preserve">promptly when </w:t>
      </w:r>
      <w:r w:rsidR="00E801E8" w:rsidRPr="00125AE7">
        <w:rPr>
          <w:rFonts w:ascii="Cambria" w:hAnsi="Cambria"/>
          <w:sz w:val="22"/>
          <w:szCs w:val="22"/>
          <w:lang w:eastAsia="x-none"/>
        </w:rPr>
        <w:t xml:space="preserve"> </w:t>
      </w:r>
      <w:r w:rsidR="00E801E8">
        <w:rPr>
          <w:rFonts w:ascii="Cambria" w:hAnsi="Cambria"/>
          <w:sz w:val="22"/>
          <w:szCs w:val="22"/>
          <w:lang w:eastAsia="x-none"/>
        </w:rPr>
        <w:t>necessary</w:t>
      </w:r>
      <w:r w:rsidRPr="00125AE7">
        <w:rPr>
          <w:rFonts w:ascii="Cambria" w:hAnsi="Cambria"/>
          <w:sz w:val="22"/>
          <w:szCs w:val="22"/>
          <w:lang w:eastAsia="x-none"/>
        </w:rPr>
        <w:t xml:space="preserve">. </w:t>
      </w:r>
    </w:p>
    <w:p w14:paraId="19E7A46E" w14:textId="77777777" w:rsidR="009A3715" w:rsidRPr="00125AE7" w:rsidRDefault="009A3715" w:rsidP="00125AE7">
      <w:pPr>
        <w:pStyle w:val="ListParagraph"/>
        <w:ind w:left="0"/>
        <w:rPr>
          <w:rFonts w:ascii="Cambria" w:hAnsi="Cambria"/>
          <w:sz w:val="22"/>
          <w:szCs w:val="22"/>
          <w:lang w:eastAsia="x-none"/>
        </w:rPr>
      </w:pPr>
    </w:p>
    <w:p w14:paraId="61CF905C" w14:textId="387843B7" w:rsidR="00B75E69" w:rsidRDefault="00963556" w:rsidP="00125AE7">
      <w:pPr>
        <w:pStyle w:val="ListParagraph"/>
        <w:ind w:left="0"/>
        <w:rPr>
          <w:rFonts w:ascii="Cambria" w:hAnsi="Cambria"/>
          <w:sz w:val="22"/>
          <w:szCs w:val="22"/>
          <w:lang w:eastAsia="x-none"/>
        </w:rPr>
      </w:pPr>
      <w:r>
        <w:rPr>
          <w:rFonts w:ascii="Cambria" w:hAnsi="Cambria"/>
          <w:sz w:val="22"/>
          <w:szCs w:val="22"/>
          <w:lang w:eastAsia="x-none"/>
        </w:rPr>
        <w:t xml:space="preserve">One conclusion that we have reached from the experiences described above is </w:t>
      </w:r>
      <w:r w:rsidR="009A3715" w:rsidRPr="00125AE7">
        <w:rPr>
          <w:rFonts w:ascii="Cambria" w:hAnsi="Cambria"/>
          <w:sz w:val="22"/>
          <w:szCs w:val="22"/>
          <w:lang w:eastAsia="x-none"/>
        </w:rPr>
        <w:t xml:space="preserve">that the </w:t>
      </w:r>
      <w:r w:rsidR="00E37862">
        <w:rPr>
          <w:rFonts w:ascii="Cambria" w:hAnsi="Cambria"/>
          <w:sz w:val="22"/>
          <w:szCs w:val="22"/>
          <w:lang w:eastAsia="x-none"/>
        </w:rPr>
        <w:t xml:space="preserve">drug policy reform </w:t>
      </w:r>
      <w:r w:rsidR="009A3715" w:rsidRPr="00125AE7">
        <w:rPr>
          <w:rFonts w:ascii="Cambria" w:hAnsi="Cambria"/>
          <w:sz w:val="22"/>
          <w:szCs w:val="22"/>
          <w:lang w:eastAsia="x-none"/>
        </w:rPr>
        <w:t>field needs new voices</w:t>
      </w:r>
      <w:r w:rsidR="00663A46">
        <w:rPr>
          <w:rFonts w:ascii="Cambria" w:hAnsi="Cambria"/>
          <w:sz w:val="22"/>
          <w:szCs w:val="22"/>
          <w:lang w:eastAsia="x-none"/>
        </w:rPr>
        <w:t xml:space="preserve"> and fresh perspectives</w:t>
      </w:r>
      <w:r w:rsidR="009A3715" w:rsidRPr="00125AE7">
        <w:rPr>
          <w:rFonts w:ascii="Cambria" w:hAnsi="Cambria"/>
          <w:sz w:val="22"/>
          <w:szCs w:val="22"/>
          <w:lang w:eastAsia="x-none"/>
        </w:rPr>
        <w:t xml:space="preserve">. Times have changed. </w:t>
      </w:r>
      <w:r w:rsidR="00663A46">
        <w:rPr>
          <w:rFonts w:ascii="Cambria" w:hAnsi="Cambria"/>
          <w:sz w:val="22"/>
          <w:szCs w:val="22"/>
          <w:lang w:eastAsia="x-none"/>
        </w:rPr>
        <w:t xml:space="preserve"> Long-</w:t>
      </w:r>
      <w:r w:rsidR="00E37862">
        <w:rPr>
          <w:rFonts w:ascii="Cambria" w:hAnsi="Cambria"/>
          <w:sz w:val="22"/>
          <w:szCs w:val="22"/>
          <w:lang w:eastAsia="x-none"/>
        </w:rPr>
        <w:t xml:space="preserve">active </w:t>
      </w:r>
      <w:r w:rsidR="0086757C">
        <w:rPr>
          <w:rFonts w:ascii="Cambria" w:hAnsi="Cambria"/>
          <w:sz w:val="22"/>
          <w:szCs w:val="22"/>
          <w:lang w:eastAsia="x-none"/>
        </w:rPr>
        <w:t>groups</w:t>
      </w:r>
      <w:r w:rsidR="0086757C" w:rsidRPr="00125AE7">
        <w:rPr>
          <w:rFonts w:ascii="Cambria" w:hAnsi="Cambria"/>
          <w:sz w:val="22"/>
          <w:szCs w:val="22"/>
          <w:lang w:eastAsia="x-none"/>
        </w:rPr>
        <w:t xml:space="preserve"> </w:t>
      </w:r>
      <w:r w:rsidR="00663A46">
        <w:rPr>
          <w:rFonts w:ascii="Cambria" w:hAnsi="Cambria"/>
          <w:sz w:val="22"/>
          <w:szCs w:val="22"/>
          <w:lang w:eastAsia="x-none"/>
        </w:rPr>
        <w:t xml:space="preserve">formed their outlook and approach to advocacy in </w:t>
      </w:r>
      <w:r w:rsidR="00F449ED">
        <w:rPr>
          <w:rFonts w:ascii="Cambria" w:hAnsi="Cambria"/>
          <w:sz w:val="22"/>
          <w:szCs w:val="22"/>
          <w:lang w:eastAsia="x-none"/>
        </w:rPr>
        <w:t xml:space="preserve">a </w:t>
      </w:r>
      <w:r w:rsidR="00663A46">
        <w:rPr>
          <w:rFonts w:ascii="Cambria" w:hAnsi="Cambria"/>
          <w:sz w:val="22"/>
          <w:szCs w:val="22"/>
          <w:lang w:eastAsia="x-none"/>
        </w:rPr>
        <w:t xml:space="preserve">more hostile </w:t>
      </w:r>
      <w:r w:rsidR="008C7251">
        <w:rPr>
          <w:rFonts w:ascii="Cambria" w:hAnsi="Cambria"/>
          <w:sz w:val="22"/>
          <w:szCs w:val="22"/>
          <w:lang w:eastAsia="x-none"/>
        </w:rPr>
        <w:t xml:space="preserve">environment than </w:t>
      </w:r>
      <w:r w:rsidR="00B75E69">
        <w:rPr>
          <w:rFonts w:ascii="Cambria" w:hAnsi="Cambria"/>
          <w:sz w:val="22"/>
          <w:szCs w:val="22"/>
          <w:lang w:eastAsia="x-none"/>
        </w:rPr>
        <w:t>we</w:t>
      </w:r>
      <w:r w:rsidR="008C7251">
        <w:rPr>
          <w:rFonts w:ascii="Cambria" w:hAnsi="Cambria"/>
          <w:sz w:val="22"/>
          <w:szCs w:val="22"/>
          <w:lang w:eastAsia="x-none"/>
        </w:rPr>
        <w:t xml:space="preserve"> are dealing with today</w:t>
      </w:r>
      <w:r w:rsidR="00A80FD8" w:rsidRPr="00125AE7">
        <w:rPr>
          <w:rFonts w:ascii="Cambria" w:hAnsi="Cambria"/>
          <w:sz w:val="22"/>
          <w:szCs w:val="22"/>
          <w:lang w:eastAsia="x-none"/>
        </w:rPr>
        <w:t xml:space="preserve">. </w:t>
      </w:r>
      <w:r w:rsidR="002946B3">
        <w:rPr>
          <w:rFonts w:ascii="Cambria" w:hAnsi="Cambria"/>
          <w:sz w:val="22"/>
          <w:szCs w:val="22"/>
          <w:lang w:eastAsia="x-none"/>
        </w:rPr>
        <w:t xml:space="preserve">Even </w:t>
      </w:r>
      <w:r w:rsidR="00B75E69">
        <w:rPr>
          <w:rFonts w:ascii="Cambria" w:hAnsi="Cambria"/>
          <w:sz w:val="22"/>
          <w:szCs w:val="22"/>
          <w:lang w:eastAsia="x-none"/>
        </w:rPr>
        <w:t>well-established</w:t>
      </w:r>
      <w:r w:rsidR="002946B3">
        <w:rPr>
          <w:rFonts w:ascii="Cambria" w:hAnsi="Cambria"/>
          <w:sz w:val="22"/>
          <w:szCs w:val="22"/>
          <w:lang w:eastAsia="x-none"/>
        </w:rPr>
        <w:t xml:space="preserve"> groups</w:t>
      </w:r>
      <w:r w:rsidR="008C7251">
        <w:rPr>
          <w:rFonts w:ascii="Cambria" w:hAnsi="Cambria"/>
          <w:sz w:val="22"/>
          <w:szCs w:val="22"/>
          <w:lang w:eastAsia="x-none"/>
        </w:rPr>
        <w:t>,</w:t>
      </w:r>
      <w:r w:rsidR="002946B3">
        <w:rPr>
          <w:rFonts w:ascii="Cambria" w:hAnsi="Cambria"/>
          <w:sz w:val="22"/>
          <w:szCs w:val="22"/>
          <w:lang w:eastAsia="x-none"/>
        </w:rPr>
        <w:t xml:space="preserve"> such as DPA</w:t>
      </w:r>
      <w:r w:rsidR="008C7251">
        <w:rPr>
          <w:rFonts w:ascii="Cambria" w:hAnsi="Cambria"/>
          <w:sz w:val="22"/>
          <w:szCs w:val="22"/>
          <w:lang w:eastAsia="x-none"/>
        </w:rPr>
        <w:t>,</w:t>
      </w:r>
      <w:r w:rsidR="002946B3">
        <w:rPr>
          <w:rFonts w:ascii="Cambria" w:hAnsi="Cambria"/>
          <w:sz w:val="22"/>
          <w:szCs w:val="22"/>
          <w:lang w:eastAsia="x-none"/>
        </w:rPr>
        <w:t xml:space="preserve"> have had to spend </w:t>
      </w:r>
      <w:r w:rsidR="00B75E69">
        <w:rPr>
          <w:rFonts w:ascii="Cambria" w:hAnsi="Cambria"/>
          <w:sz w:val="22"/>
          <w:szCs w:val="22"/>
          <w:lang w:eastAsia="x-none"/>
        </w:rPr>
        <w:t xml:space="preserve">enormous amounts of </w:t>
      </w:r>
      <w:r w:rsidR="002946B3">
        <w:rPr>
          <w:rFonts w:ascii="Cambria" w:hAnsi="Cambria"/>
          <w:sz w:val="22"/>
          <w:szCs w:val="22"/>
          <w:lang w:eastAsia="x-none"/>
        </w:rPr>
        <w:t xml:space="preserve">time </w:t>
      </w:r>
      <w:r w:rsidR="00CB6AFF">
        <w:rPr>
          <w:rFonts w:ascii="Cambria" w:hAnsi="Cambria"/>
          <w:sz w:val="22"/>
          <w:szCs w:val="22"/>
          <w:lang w:eastAsia="x-none"/>
        </w:rPr>
        <w:t xml:space="preserve">and energy over the years </w:t>
      </w:r>
      <w:r w:rsidR="002946B3">
        <w:rPr>
          <w:rFonts w:ascii="Cambria" w:hAnsi="Cambria"/>
          <w:sz w:val="22"/>
          <w:szCs w:val="22"/>
          <w:lang w:eastAsia="x-none"/>
        </w:rPr>
        <w:t xml:space="preserve">defending </w:t>
      </w:r>
      <w:r w:rsidR="00A80FD8" w:rsidRPr="00125AE7">
        <w:rPr>
          <w:rFonts w:ascii="Cambria" w:hAnsi="Cambria"/>
          <w:sz w:val="22"/>
          <w:szCs w:val="22"/>
          <w:lang w:eastAsia="x-none"/>
        </w:rPr>
        <w:t xml:space="preserve">their </w:t>
      </w:r>
      <w:r w:rsidR="00663A46">
        <w:rPr>
          <w:rFonts w:ascii="Cambria" w:hAnsi="Cambria"/>
          <w:sz w:val="22"/>
          <w:szCs w:val="22"/>
          <w:lang w:eastAsia="x-none"/>
        </w:rPr>
        <w:t>space</w:t>
      </w:r>
      <w:r w:rsidR="00B75E69">
        <w:rPr>
          <w:rFonts w:ascii="Cambria" w:hAnsi="Cambria"/>
          <w:sz w:val="22"/>
          <w:szCs w:val="22"/>
          <w:lang w:eastAsia="x-none"/>
        </w:rPr>
        <w:t xml:space="preserve">.  An unfortunate </w:t>
      </w:r>
      <w:r w:rsidR="00994329">
        <w:rPr>
          <w:rFonts w:ascii="Cambria" w:hAnsi="Cambria"/>
          <w:sz w:val="22"/>
          <w:szCs w:val="22"/>
          <w:lang w:eastAsia="x-none"/>
        </w:rPr>
        <w:t>effect</w:t>
      </w:r>
      <w:r w:rsidR="00B75E69">
        <w:rPr>
          <w:rFonts w:ascii="Cambria" w:hAnsi="Cambria"/>
          <w:sz w:val="22"/>
          <w:szCs w:val="22"/>
          <w:lang w:eastAsia="x-none"/>
        </w:rPr>
        <w:t xml:space="preserve"> of this decades-long struggle is that</w:t>
      </w:r>
      <w:r w:rsidR="00994329">
        <w:rPr>
          <w:rFonts w:ascii="Cambria" w:hAnsi="Cambria"/>
          <w:sz w:val="22"/>
          <w:szCs w:val="22"/>
          <w:lang w:eastAsia="x-none"/>
        </w:rPr>
        <w:t>,</w:t>
      </w:r>
      <w:r w:rsidR="00B75E69">
        <w:rPr>
          <w:rFonts w:ascii="Cambria" w:hAnsi="Cambria"/>
          <w:sz w:val="22"/>
          <w:szCs w:val="22"/>
          <w:lang w:eastAsia="x-none"/>
        </w:rPr>
        <w:t xml:space="preserve"> </w:t>
      </w:r>
      <w:r w:rsidR="00CB6AFF">
        <w:rPr>
          <w:rFonts w:ascii="Cambria" w:hAnsi="Cambria"/>
          <w:sz w:val="22"/>
          <w:szCs w:val="22"/>
          <w:lang w:eastAsia="x-none"/>
        </w:rPr>
        <w:t xml:space="preserve">when </w:t>
      </w:r>
      <w:r w:rsidR="00994329">
        <w:rPr>
          <w:rFonts w:ascii="Cambria" w:hAnsi="Cambria"/>
          <w:sz w:val="22"/>
          <w:szCs w:val="22"/>
          <w:lang w:eastAsia="x-none"/>
        </w:rPr>
        <w:t>these groups</w:t>
      </w:r>
      <w:r w:rsidR="00CB6AFF">
        <w:rPr>
          <w:rFonts w:ascii="Cambria" w:hAnsi="Cambria"/>
          <w:sz w:val="22"/>
          <w:szCs w:val="22"/>
          <w:lang w:eastAsia="x-none"/>
        </w:rPr>
        <w:t xml:space="preserve"> encounter opportunities</w:t>
      </w:r>
      <w:r w:rsidR="00E37862">
        <w:rPr>
          <w:rFonts w:ascii="Cambria" w:hAnsi="Cambria"/>
          <w:sz w:val="22"/>
          <w:szCs w:val="22"/>
          <w:lang w:eastAsia="x-none"/>
        </w:rPr>
        <w:t>,</w:t>
      </w:r>
      <w:r w:rsidR="00CB6AFF">
        <w:rPr>
          <w:rFonts w:ascii="Cambria" w:hAnsi="Cambria"/>
          <w:sz w:val="22"/>
          <w:szCs w:val="22"/>
          <w:lang w:eastAsia="x-none"/>
        </w:rPr>
        <w:t xml:space="preserve"> they </w:t>
      </w:r>
      <w:r w:rsidR="00994329">
        <w:rPr>
          <w:rFonts w:ascii="Cambria" w:hAnsi="Cambria"/>
          <w:sz w:val="22"/>
          <w:szCs w:val="22"/>
          <w:lang w:eastAsia="x-none"/>
        </w:rPr>
        <w:t xml:space="preserve">sometimes perceive </w:t>
      </w:r>
      <w:r w:rsidR="00E37862">
        <w:rPr>
          <w:rFonts w:ascii="Cambria" w:hAnsi="Cambria"/>
          <w:sz w:val="22"/>
          <w:szCs w:val="22"/>
          <w:lang w:eastAsia="x-none"/>
        </w:rPr>
        <w:t xml:space="preserve">those opportunities </w:t>
      </w:r>
      <w:r w:rsidR="00B75E69">
        <w:rPr>
          <w:rFonts w:ascii="Cambria" w:hAnsi="Cambria"/>
          <w:sz w:val="22"/>
          <w:szCs w:val="22"/>
          <w:lang w:eastAsia="x-none"/>
        </w:rPr>
        <w:t>a</w:t>
      </w:r>
      <w:r w:rsidR="00CB6AFF">
        <w:rPr>
          <w:rFonts w:ascii="Cambria" w:hAnsi="Cambria"/>
          <w:sz w:val="22"/>
          <w:szCs w:val="22"/>
          <w:lang w:eastAsia="x-none"/>
        </w:rPr>
        <w:t>s threats.</w:t>
      </w:r>
      <w:r w:rsidR="00B75E69">
        <w:rPr>
          <w:rFonts w:ascii="Cambria" w:hAnsi="Cambria"/>
          <w:sz w:val="22"/>
          <w:szCs w:val="22"/>
          <w:lang w:eastAsia="x-none"/>
        </w:rPr>
        <w:t xml:space="preserve"> </w:t>
      </w:r>
      <w:r w:rsidR="002946B3">
        <w:rPr>
          <w:rFonts w:ascii="Cambria" w:hAnsi="Cambria"/>
          <w:sz w:val="22"/>
          <w:szCs w:val="22"/>
          <w:lang w:eastAsia="x-none"/>
        </w:rPr>
        <w:t>For a long time</w:t>
      </w:r>
      <w:r w:rsidR="00B75E69">
        <w:rPr>
          <w:rFonts w:ascii="Cambria" w:hAnsi="Cambria"/>
          <w:sz w:val="22"/>
          <w:szCs w:val="22"/>
          <w:lang w:eastAsia="x-none"/>
        </w:rPr>
        <w:t>,</w:t>
      </w:r>
      <w:r w:rsidR="002946B3">
        <w:rPr>
          <w:rFonts w:ascii="Cambria" w:hAnsi="Cambria"/>
          <w:sz w:val="22"/>
          <w:szCs w:val="22"/>
          <w:lang w:eastAsia="x-none"/>
        </w:rPr>
        <w:t xml:space="preserve"> leadership at DPA </w:t>
      </w:r>
      <w:r w:rsidR="00994329">
        <w:rPr>
          <w:rFonts w:ascii="Cambria" w:hAnsi="Cambria"/>
          <w:sz w:val="22"/>
          <w:szCs w:val="22"/>
          <w:lang w:eastAsia="x-none"/>
        </w:rPr>
        <w:t xml:space="preserve">seemed </w:t>
      </w:r>
      <w:r w:rsidR="002946B3">
        <w:rPr>
          <w:rFonts w:ascii="Cambria" w:hAnsi="Cambria"/>
          <w:sz w:val="22"/>
          <w:szCs w:val="22"/>
          <w:lang w:eastAsia="x-none"/>
        </w:rPr>
        <w:t xml:space="preserve">convinced that health </w:t>
      </w:r>
      <w:r w:rsidR="00CB6AFF">
        <w:rPr>
          <w:rFonts w:ascii="Cambria" w:hAnsi="Cambria"/>
          <w:sz w:val="22"/>
          <w:szCs w:val="22"/>
          <w:lang w:eastAsia="x-none"/>
        </w:rPr>
        <w:t xml:space="preserve">care </w:t>
      </w:r>
      <w:r w:rsidR="002946B3">
        <w:rPr>
          <w:rFonts w:ascii="Cambria" w:hAnsi="Cambria"/>
          <w:sz w:val="22"/>
          <w:szCs w:val="22"/>
          <w:lang w:eastAsia="x-none"/>
        </w:rPr>
        <w:t>reform would only support abstinence</w:t>
      </w:r>
      <w:r w:rsidR="008C7251">
        <w:rPr>
          <w:rFonts w:ascii="Cambria" w:hAnsi="Cambria"/>
          <w:sz w:val="22"/>
          <w:szCs w:val="22"/>
          <w:lang w:eastAsia="x-none"/>
        </w:rPr>
        <w:t>-based</w:t>
      </w:r>
      <w:r w:rsidR="002946B3">
        <w:rPr>
          <w:rFonts w:ascii="Cambria" w:hAnsi="Cambria"/>
          <w:sz w:val="22"/>
          <w:szCs w:val="22"/>
          <w:lang w:eastAsia="x-none"/>
        </w:rPr>
        <w:t xml:space="preserve">, non-medication assisted treatment. </w:t>
      </w:r>
      <w:r w:rsidR="00CB6AFF">
        <w:rPr>
          <w:rFonts w:ascii="Cambria" w:hAnsi="Cambria"/>
          <w:sz w:val="22"/>
          <w:szCs w:val="22"/>
          <w:lang w:eastAsia="x-none"/>
        </w:rPr>
        <w:t>DPA</w:t>
      </w:r>
      <w:r w:rsidR="002946B3">
        <w:rPr>
          <w:rFonts w:ascii="Cambria" w:hAnsi="Cambria"/>
          <w:sz w:val="22"/>
          <w:szCs w:val="22"/>
          <w:lang w:eastAsia="x-none"/>
        </w:rPr>
        <w:t xml:space="preserve"> </w:t>
      </w:r>
      <w:r w:rsidR="00CB6AFF">
        <w:rPr>
          <w:rFonts w:ascii="Cambria" w:hAnsi="Cambria"/>
          <w:sz w:val="22"/>
          <w:szCs w:val="22"/>
          <w:lang w:eastAsia="x-none"/>
        </w:rPr>
        <w:t>failed</w:t>
      </w:r>
      <w:r w:rsidR="002946B3">
        <w:rPr>
          <w:rFonts w:ascii="Cambria" w:hAnsi="Cambria"/>
          <w:sz w:val="22"/>
          <w:szCs w:val="22"/>
          <w:lang w:eastAsia="x-none"/>
        </w:rPr>
        <w:t xml:space="preserve"> to engage </w:t>
      </w:r>
      <w:r w:rsidR="00CB6AFF">
        <w:rPr>
          <w:rFonts w:ascii="Cambria" w:hAnsi="Cambria"/>
          <w:sz w:val="22"/>
          <w:szCs w:val="22"/>
          <w:lang w:eastAsia="x-none"/>
        </w:rPr>
        <w:t xml:space="preserve">in </w:t>
      </w:r>
      <w:r w:rsidR="00B75E69">
        <w:rPr>
          <w:rFonts w:ascii="Cambria" w:hAnsi="Cambria"/>
          <w:sz w:val="22"/>
          <w:szCs w:val="22"/>
          <w:lang w:eastAsia="x-none"/>
        </w:rPr>
        <w:t xml:space="preserve">the </w:t>
      </w:r>
      <w:r w:rsidR="00CB6AFF">
        <w:rPr>
          <w:rFonts w:ascii="Cambria" w:hAnsi="Cambria"/>
          <w:sz w:val="22"/>
          <w:szCs w:val="22"/>
          <w:lang w:eastAsia="x-none"/>
        </w:rPr>
        <w:t xml:space="preserve">health care reform </w:t>
      </w:r>
      <w:r w:rsidR="00B75E69">
        <w:rPr>
          <w:rFonts w:ascii="Cambria" w:hAnsi="Cambria"/>
          <w:sz w:val="22"/>
          <w:szCs w:val="22"/>
          <w:lang w:eastAsia="x-none"/>
        </w:rPr>
        <w:t xml:space="preserve">conversations </w:t>
      </w:r>
      <w:r w:rsidR="00994329">
        <w:rPr>
          <w:rFonts w:ascii="Cambria" w:hAnsi="Cambria"/>
          <w:sz w:val="22"/>
          <w:szCs w:val="22"/>
          <w:lang w:eastAsia="x-none"/>
        </w:rPr>
        <w:t xml:space="preserve">to move </w:t>
      </w:r>
      <w:r w:rsidR="00E37862">
        <w:rPr>
          <w:rFonts w:ascii="Cambria" w:hAnsi="Cambria"/>
          <w:sz w:val="22"/>
          <w:szCs w:val="22"/>
          <w:lang w:eastAsia="x-none"/>
        </w:rPr>
        <w:t xml:space="preserve">forward even </w:t>
      </w:r>
      <w:r w:rsidR="00CB6AFF">
        <w:rPr>
          <w:rFonts w:ascii="Cambria" w:hAnsi="Cambria"/>
          <w:sz w:val="22"/>
          <w:szCs w:val="22"/>
          <w:lang w:eastAsia="x-none"/>
        </w:rPr>
        <w:t>its own drug policy agenda– maybe</w:t>
      </w:r>
      <w:r w:rsidR="002946B3">
        <w:rPr>
          <w:rFonts w:ascii="Cambria" w:hAnsi="Cambria"/>
          <w:sz w:val="22"/>
          <w:szCs w:val="22"/>
          <w:lang w:eastAsia="x-none"/>
        </w:rPr>
        <w:t xml:space="preserve"> because it </w:t>
      </w:r>
      <w:r w:rsidR="00B75E69">
        <w:rPr>
          <w:rFonts w:ascii="Cambria" w:hAnsi="Cambria"/>
          <w:sz w:val="22"/>
          <w:szCs w:val="22"/>
          <w:lang w:eastAsia="x-none"/>
        </w:rPr>
        <w:t xml:space="preserve">could not see the opportunity, but maybe because it sensed </w:t>
      </w:r>
      <w:r w:rsidR="00CB6AFF">
        <w:rPr>
          <w:rFonts w:ascii="Cambria" w:hAnsi="Cambria"/>
          <w:sz w:val="22"/>
          <w:szCs w:val="22"/>
          <w:lang w:eastAsia="x-none"/>
        </w:rPr>
        <w:t xml:space="preserve">it </w:t>
      </w:r>
      <w:r w:rsidR="002946B3">
        <w:rPr>
          <w:rFonts w:ascii="Cambria" w:hAnsi="Cambria"/>
          <w:sz w:val="22"/>
          <w:szCs w:val="22"/>
          <w:lang w:eastAsia="x-none"/>
        </w:rPr>
        <w:t xml:space="preserve">lacked the deep expertise to talk in health language about evidence based harm reduction and treatment over a full range of illicit and non-illicit drugs.  </w:t>
      </w:r>
    </w:p>
    <w:p w14:paraId="72E215BA" w14:textId="77777777" w:rsidR="00B75E69" w:rsidRDefault="00B75E69" w:rsidP="00125AE7">
      <w:pPr>
        <w:pStyle w:val="ListParagraph"/>
        <w:ind w:left="0"/>
        <w:rPr>
          <w:rFonts w:ascii="Cambria" w:hAnsi="Cambria"/>
          <w:sz w:val="22"/>
          <w:szCs w:val="22"/>
          <w:lang w:eastAsia="x-none"/>
        </w:rPr>
      </w:pPr>
    </w:p>
    <w:p w14:paraId="66687E86" w14:textId="00D85E8B" w:rsidR="00A80FD8" w:rsidRPr="00125AE7" w:rsidRDefault="00B75E69" w:rsidP="00125AE7">
      <w:pPr>
        <w:pStyle w:val="ListParagraph"/>
        <w:ind w:left="0"/>
        <w:rPr>
          <w:rFonts w:ascii="Cambria" w:hAnsi="Cambria"/>
          <w:sz w:val="22"/>
          <w:szCs w:val="22"/>
          <w:lang w:eastAsia="x-none"/>
        </w:rPr>
      </w:pPr>
      <w:r>
        <w:rPr>
          <w:rFonts w:ascii="Cambria" w:hAnsi="Cambria"/>
          <w:sz w:val="22"/>
          <w:szCs w:val="22"/>
          <w:lang w:eastAsia="x-none"/>
        </w:rPr>
        <w:t xml:space="preserve">Sustained </w:t>
      </w:r>
      <w:r w:rsidR="009A3715" w:rsidRPr="00125AE7">
        <w:rPr>
          <w:rFonts w:ascii="Cambria" w:hAnsi="Cambria"/>
          <w:sz w:val="22"/>
          <w:szCs w:val="22"/>
          <w:lang w:eastAsia="x-none"/>
        </w:rPr>
        <w:t>support</w:t>
      </w:r>
      <w:r w:rsidR="00663A46">
        <w:rPr>
          <w:rFonts w:ascii="Cambria" w:hAnsi="Cambria"/>
          <w:sz w:val="22"/>
          <w:szCs w:val="22"/>
          <w:lang w:eastAsia="x-none"/>
        </w:rPr>
        <w:t xml:space="preserve"> </w:t>
      </w:r>
      <w:r w:rsidR="00F449ED">
        <w:rPr>
          <w:rFonts w:ascii="Cambria" w:hAnsi="Cambria"/>
          <w:sz w:val="22"/>
          <w:szCs w:val="22"/>
          <w:lang w:eastAsia="x-none"/>
        </w:rPr>
        <w:t xml:space="preserve">for </w:t>
      </w:r>
      <w:r w:rsidR="00663A46">
        <w:rPr>
          <w:rFonts w:ascii="Cambria" w:hAnsi="Cambria"/>
          <w:sz w:val="22"/>
          <w:szCs w:val="22"/>
          <w:lang w:eastAsia="x-none"/>
        </w:rPr>
        <w:t xml:space="preserve">established </w:t>
      </w:r>
      <w:r w:rsidR="009A3715" w:rsidRPr="00125AE7">
        <w:rPr>
          <w:rFonts w:ascii="Cambria" w:hAnsi="Cambria"/>
          <w:sz w:val="22"/>
          <w:szCs w:val="22"/>
          <w:lang w:eastAsia="x-none"/>
        </w:rPr>
        <w:t xml:space="preserve">advocates </w:t>
      </w:r>
      <w:r w:rsidR="00663A46">
        <w:rPr>
          <w:rFonts w:ascii="Cambria" w:hAnsi="Cambria"/>
          <w:sz w:val="22"/>
          <w:szCs w:val="22"/>
          <w:lang w:eastAsia="x-none"/>
        </w:rPr>
        <w:t xml:space="preserve">is important in order to </w:t>
      </w:r>
      <w:r>
        <w:rPr>
          <w:rFonts w:ascii="Cambria" w:hAnsi="Cambria"/>
          <w:sz w:val="22"/>
          <w:szCs w:val="22"/>
          <w:lang w:eastAsia="x-none"/>
        </w:rPr>
        <w:t xml:space="preserve">ensure </w:t>
      </w:r>
      <w:r w:rsidR="00663A46">
        <w:rPr>
          <w:rFonts w:ascii="Cambria" w:hAnsi="Cambria"/>
          <w:sz w:val="22"/>
          <w:szCs w:val="22"/>
          <w:lang w:eastAsia="x-none"/>
        </w:rPr>
        <w:t xml:space="preserve">the availability of </w:t>
      </w:r>
      <w:r w:rsidR="009A3715" w:rsidRPr="00125AE7">
        <w:rPr>
          <w:rFonts w:ascii="Cambria" w:hAnsi="Cambria"/>
          <w:sz w:val="22"/>
          <w:szCs w:val="22"/>
          <w:lang w:eastAsia="x-none"/>
        </w:rPr>
        <w:t>their historical knowledge, insights</w:t>
      </w:r>
      <w:r>
        <w:rPr>
          <w:rFonts w:ascii="Cambria" w:hAnsi="Cambria"/>
          <w:sz w:val="22"/>
          <w:szCs w:val="22"/>
          <w:lang w:eastAsia="x-none"/>
        </w:rPr>
        <w:t xml:space="preserve">, </w:t>
      </w:r>
      <w:r w:rsidR="009A3715" w:rsidRPr="00125AE7">
        <w:rPr>
          <w:rFonts w:ascii="Cambria" w:hAnsi="Cambria"/>
          <w:sz w:val="22"/>
          <w:szCs w:val="22"/>
          <w:lang w:eastAsia="x-none"/>
        </w:rPr>
        <w:t>strategies</w:t>
      </w:r>
      <w:r>
        <w:rPr>
          <w:rFonts w:ascii="Cambria" w:hAnsi="Cambria"/>
          <w:sz w:val="22"/>
          <w:szCs w:val="22"/>
          <w:lang w:eastAsia="x-none"/>
        </w:rPr>
        <w:t xml:space="preserve"> and organizational capacity</w:t>
      </w:r>
      <w:r w:rsidR="00663A46">
        <w:rPr>
          <w:rFonts w:ascii="Cambria" w:hAnsi="Cambria"/>
          <w:sz w:val="22"/>
          <w:szCs w:val="22"/>
          <w:lang w:eastAsia="x-none"/>
        </w:rPr>
        <w:t>.  B</w:t>
      </w:r>
      <w:r w:rsidR="009A3715" w:rsidRPr="00125AE7">
        <w:rPr>
          <w:rFonts w:ascii="Cambria" w:hAnsi="Cambria"/>
          <w:sz w:val="22"/>
          <w:szCs w:val="22"/>
          <w:lang w:eastAsia="x-none"/>
        </w:rPr>
        <w:t>ut</w:t>
      </w:r>
      <w:r w:rsidR="00F449ED">
        <w:rPr>
          <w:rFonts w:ascii="Cambria" w:hAnsi="Cambria"/>
          <w:sz w:val="22"/>
          <w:szCs w:val="22"/>
          <w:lang w:eastAsia="x-none"/>
        </w:rPr>
        <w:t xml:space="preserve">, </w:t>
      </w:r>
      <w:r w:rsidR="00CB6AFF">
        <w:rPr>
          <w:rFonts w:ascii="Cambria" w:hAnsi="Cambria"/>
          <w:sz w:val="22"/>
          <w:szCs w:val="22"/>
          <w:lang w:eastAsia="x-none"/>
        </w:rPr>
        <w:t xml:space="preserve">we </w:t>
      </w:r>
      <w:r w:rsidR="00CB6AFF" w:rsidRPr="00125AE7">
        <w:rPr>
          <w:rFonts w:ascii="Cambria" w:hAnsi="Cambria"/>
          <w:sz w:val="22"/>
          <w:szCs w:val="22"/>
          <w:lang w:eastAsia="x-none"/>
        </w:rPr>
        <w:t>also</w:t>
      </w:r>
      <w:r w:rsidR="009A3715" w:rsidRPr="00125AE7">
        <w:rPr>
          <w:rFonts w:ascii="Cambria" w:hAnsi="Cambria"/>
          <w:sz w:val="22"/>
          <w:szCs w:val="22"/>
          <w:lang w:eastAsia="x-none"/>
        </w:rPr>
        <w:t xml:space="preserve"> </w:t>
      </w:r>
      <w:r w:rsidR="00663A46">
        <w:rPr>
          <w:rFonts w:ascii="Cambria" w:hAnsi="Cambria"/>
          <w:sz w:val="22"/>
          <w:szCs w:val="22"/>
          <w:lang w:eastAsia="x-none"/>
        </w:rPr>
        <w:t xml:space="preserve">need to be prepared to </w:t>
      </w:r>
      <w:r w:rsidR="009A3715" w:rsidRPr="00125AE7">
        <w:rPr>
          <w:rFonts w:ascii="Cambria" w:hAnsi="Cambria"/>
          <w:sz w:val="22"/>
          <w:szCs w:val="22"/>
          <w:lang w:eastAsia="x-none"/>
        </w:rPr>
        <w:t>embrac</w:t>
      </w:r>
      <w:r w:rsidR="00663A46">
        <w:rPr>
          <w:rFonts w:ascii="Cambria" w:hAnsi="Cambria"/>
          <w:sz w:val="22"/>
          <w:szCs w:val="22"/>
          <w:lang w:eastAsia="x-none"/>
        </w:rPr>
        <w:t>e</w:t>
      </w:r>
      <w:r w:rsidR="009A3715" w:rsidRPr="00125AE7">
        <w:rPr>
          <w:rFonts w:ascii="Cambria" w:hAnsi="Cambria"/>
          <w:sz w:val="22"/>
          <w:szCs w:val="22"/>
          <w:lang w:eastAsia="x-none"/>
        </w:rPr>
        <w:t xml:space="preserve"> </w:t>
      </w:r>
      <w:r w:rsidRPr="00125AE7">
        <w:rPr>
          <w:rFonts w:ascii="Cambria" w:hAnsi="Cambria"/>
          <w:sz w:val="22"/>
          <w:szCs w:val="22"/>
          <w:lang w:eastAsia="x-none"/>
        </w:rPr>
        <w:t xml:space="preserve">new organizations </w:t>
      </w:r>
      <w:r w:rsidR="009A3715" w:rsidRPr="00125AE7">
        <w:rPr>
          <w:rFonts w:ascii="Cambria" w:hAnsi="Cambria"/>
          <w:sz w:val="22"/>
          <w:szCs w:val="22"/>
          <w:lang w:eastAsia="x-none"/>
        </w:rPr>
        <w:t xml:space="preserve">and </w:t>
      </w:r>
      <w:r w:rsidR="00E96DA9" w:rsidRPr="00125AE7">
        <w:rPr>
          <w:rFonts w:ascii="Cambria" w:hAnsi="Cambria"/>
          <w:sz w:val="22"/>
          <w:szCs w:val="22"/>
          <w:lang w:eastAsia="x-none"/>
        </w:rPr>
        <w:t xml:space="preserve">support </w:t>
      </w:r>
      <w:r w:rsidRPr="00125AE7">
        <w:rPr>
          <w:rFonts w:ascii="Cambria" w:hAnsi="Cambria"/>
          <w:sz w:val="22"/>
          <w:szCs w:val="22"/>
          <w:lang w:eastAsia="x-none"/>
        </w:rPr>
        <w:t xml:space="preserve">new voices </w:t>
      </w:r>
      <w:r>
        <w:rPr>
          <w:rFonts w:ascii="Cambria" w:hAnsi="Cambria"/>
          <w:sz w:val="22"/>
          <w:szCs w:val="22"/>
          <w:lang w:eastAsia="x-none"/>
        </w:rPr>
        <w:t>with</w:t>
      </w:r>
      <w:r w:rsidRPr="00125AE7">
        <w:rPr>
          <w:rFonts w:ascii="Cambria" w:hAnsi="Cambria"/>
          <w:sz w:val="22"/>
          <w:szCs w:val="22"/>
          <w:lang w:eastAsia="x-none"/>
        </w:rPr>
        <w:t>in existing organizations</w:t>
      </w:r>
      <w:r w:rsidRPr="00125AE7" w:rsidDel="00B75E69">
        <w:rPr>
          <w:rFonts w:ascii="Cambria" w:hAnsi="Cambria"/>
          <w:sz w:val="22"/>
          <w:szCs w:val="22"/>
          <w:lang w:eastAsia="x-none"/>
        </w:rPr>
        <w:t xml:space="preserve"> </w:t>
      </w:r>
      <w:r w:rsidR="00A80FD8" w:rsidRPr="00125AE7">
        <w:rPr>
          <w:rFonts w:ascii="Cambria" w:hAnsi="Cambria"/>
          <w:sz w:val="22"/>
          <w:szCs w:val="22"/>
          <w:lang w:eastAsia="x-none"/>
        </w:rPr>
        <w:t xml:space="preserve">to </w:t>
      </w:r>
      <w:r w:rsidR="009A3715" w:rsidRPr="00125AE7">
        <w:rPr>
          <w:rFonts w:ascii="Cambria" w:hAnsi="Cambria"/>
          <w:sz w:val="22"/>
          <w:szCs w:val="22"/>
          <w:lang w:eastAsia="x-none"/>
        </w:rPr>
        <w:t xml:space="preserve">diversify the field and make it more responsive and able to take advantage of a rapidly changing drug policy landscape. </w:t>
      </w:r>
    </w:p>
    <w:p w14:paraId="51CAC18E" w14:textId="77777777" w:rsidR="00A80FD8" w:rsidRPr="00125AE7" w:rsidRDefault="00A80FD8" w:rsidP="00125AE7">
      <w:pPr>
        <w:pStyle w:val="ListParagraph"/>
        <w:ind w:left="0"/>
        <w:rPr>
          <w:rFonts w:ascii="Cambria" w:hAnsi="Cambria"/>
          <w:sz w:val="22"/>
          <w:szCs w:val="22"/>
          <w:lang w:eastAsia="x-none"/>
        </w:rPr>
      </w:pPr>
    </w:p>
    <w:p w14:paraId="6A704D7C" w14:textId="4B76031A" w:rsidR="00880A86" w:rsidRPr="00125AE7" w:rsidRDefault="00EF1587" w:rsidP="00125AE7">
      <w:pPr>
        <w:pStyle w:val="ListParagraph"/>
        <w:ind w:left="0"/>
        <w:rPr>
          <w:rFonts w:ascii="Cambria" w:hAnsi="Cambria"/>
          <w:color w:val="000000"/>
          <w:sz w:val="22"/>
          <w:szCs w:val="22"/>
        </w:rPr>
      </w:pPr>
      <w:r>
        <w:rPr>
          <w:rFonts w:ascii="Cambria" w:hAnsi="Cambria"/>
          <w:sz w:val="22"/>
          <w:szCs w:val="22"/>
          <w:lang w:eastAsia="x-none"/>
        </w:rPr>
        <w:t>T</w:t>
      </w:r>
      <w:r w:rsidR="009A3715" w:rsidRPr="00125AE7">
        <w:rPr>
          <w:rFonts w:ascii="Cambria" w:hAnsi="Cambria"/>
          <w:sz w:val="22"/>
          <w:szCs w:val="22"/>
          <w:lang w:eastAsia="x-none"/>
        </w:rPr>
        <w:t xml:space="preserve">he </w:t>
      </w:r>
      <w:r>
        <w:rPr>
          <w:rFonts w:ascii="Cambria" w:hAnsi="Cambria"/>
          <w:sz w:val="22"/>
          <w:szCs w:val="22"/>
          <w:lang w:eastAsia="x-none"/>
        </w:rPr>
        <w:t xml:space="preserve">health component of the CNDP </w:t>
      </w:r>
      <w:r w:rsidR="009A3715" w:rsidRPr="00125AE7">
        <w:rPr>
          <w:rFonts w:ascii="Cambria" w:hAnsi="Cambria"/>
          <w:sz w:val="22"/>
          <w:szCs w:val="22"/>
          <w:lang w:eastAsia="x-none"/>
        </w:rPr>
        <w:t xml:space="preserve">portfolio looks to the future with this understanding of the field and seeks to work on </w:t>
      </w:r>
      <w:r w:rsidR="00880A86" w:rsidRPr="00125AE7">
        <w:rPr>
          <w:rFonts w:ascii="Cambria" w:hAnsi="Cambria"/>
          <w:sz w:val="22"/>
          <w:szCs w:val="22"/>
          <w:lang w:eastAsia="x-none"/>
        </w:rPr>
        <w:t>three key goals</w:t>
      </w:r>
      <w:r w:rsidR="003926D4" w:rsidRPr="00125AE7">
        <w:rPr>
          <w:rFonts w:ascii="Cambria" w:hAnsi="Cambria"/>
          <w:sz w:val="22"/>
          <w:szCs w:val="22"/>
          <w:lang w:eastAsia="x-none"/>
        </w:rPr>
        <w:t>:</w:t>
      </w:r>
      <w:r w:rsidR="00663A46">
        <w:rPr>
          <w:rFonts w:ascii="Cambria" w:hAnsi="Cambria"/>
          <w:sz w:val="22"/>
          <w:szCs w:val="22"/>
          <w:lang w:eastAsia="x-none"/>
        </w:rPr>
        <w:t xml:space="preserve"> (1) to c</w:t>
      </w:r>
      <w:r w:rsidR="00880A86" w:rsidRPr="00125AE7">
        <w:rPr>
          <w:rFonts w:ascii="Cambria" w:hAnsi="Cambria"/>
          <w:sz w:val="22"/>
          <w:szCs w:val="22"/>
          <w:lang w:eastAsia="x-none"/>
        </w:rPr>
        <w:t>ontinue work that promote</w:t>
      </w:r>
      <w:r w:rsidR="00663A46">
        <w:rPr>
          <w:rFonts w:ascii="Cambria" w:hAnsi="Cambria"/>
          <w:sz w:val="22"/>
          <w:szCs w:val="22"/>
          <w:lang w:eastAsia="x-none"/>
        </w:rPr>
        <w:t>s</w:t>
      </w:r>
      <w:r w:rsidR="00880A86" w:rsidRPr="00125AE7">
        <w:rPr>
          <w:rFonts w:ascii="Cambria" w:hAnsi="Cambria"/>
          <w:sz w:val="22"/>
          <w:szCs w:val="22"/>
          <w:lang w:eastAsia="x-none"/>
        </w:rPr>
        <w:t xml:space="preserve"> Medicaid expansion</w:t>
      </w:r>
      <w:r w:rsidR="00663A46">
        <w:rPr>
          <w:rFonts w:ascii="Cambria" w:hAnsi="Cambria"/>
          <w:sz w:val="22"/>
          <w:szCs w:val="22"/>
          <w:lang w:eastAsia="x-none"/>
        </w:rPr>
        <w:t xml:space="preserve">, (2) to </w:t>
      </w:r>
      <w:r w:rsidR="00663A46">
        <w:rPr>
          <w:rFonts w:ascii="Cambria" w:hAnsi="Cambria"/>
          <w:color w:val="000000"/>
          <w:sz w:val="22"/>
          <w:szCs w:val="22"/>
        </w:rPr>
        <w:t>c</w:t>
      </w:r>
      <w:r w:rsidR="00880A86" w:rsidRPr="00125AE7">
        <w:rPr>
          <w:rFonts w:ascii="Cambria" w:hAnsi="Cambria"/>
          <w:color w:val="000000"/>
          <w:sz w:val="22"/>
          <w:szCs w:val="22"/>
        </w:rPr>
        <w:t xml:space="preserve">ontinue </w:t>
      </w:r>
      <w:r w:rsidR="00663A46">
        <w:rPr>
          <w:rFonts w:ascii="Cambria" w:hAnsi="Cambria"/>
          <w:color w:val="000000"/>
          <w:sz w:val="22"/>
          <w:szCs w:val="22"/>
        </w:rPr>
        <w:t xml:space="preserve">support of </w:t>
      </w:r>
      <w:r w:rsidR="00880A86" w:rsidRPr="00125AE7">
        <w:rPr>
          <w:rFonts w:ascii="Cambria" w:hAnsi="Cambria"/>
          <w:color w:val="000000"/>
          <w:sz w:val="22"/>
          <w:szCs w:val="22"/>
        </w:rPr>
        <w:t>National and state level reform</w:t>
      </w:r>
      <w:r w:rsidR="00663A46">
        <w:rPr>
          <w:rFonts w:ascii="Cambria" w:hAnsi="Cambria"/>
          <w:color w:val="000000"/>
          <w:sz w:val="22"/>
          <w:szCs w:val="22"/>
        </w:rPr>
        <w:t xml:space="preserve"> efforts </w:t>
      </w:r>
      <w:r w:rsidR="00880A86" w:rsidRPr="00125AE7">
        <w:rPr>
          <w:rFonts w:ascii="Cambria" w:hAnsi="Cambria"/>
          <w:color w:val="000000"/>
          <w:sz w:val="22"/>
          <w:szCs w:val="22"/>
        </w:rPr>
        <w:t>to ensure meaningful access to substance use disorder services and integration of drug user health in mainstream, evidence based health care</w:t>
      </w:r>
      <w:r w:rsidR="009D29E6">
        <w:rPr>
          <w:rFonts w:ascii="Cambria" w:hAnsi="Cambria"/>
          <w:color w:val="000000"/>
          <w:sz w:val="22"/>
          <w:szCs w:val="22"/>
        </w:rPr>
        <w:t xml:space="preserve"> and </w:t>
      </w:r>
      <w:r w:rsidR="00D0226A">
        <w:rPr>
          <w:rFonts w:ascii="Cambria" w:hAnsi="Cambria"/>
          <w:color w:val="000000"/>
          <w:sz w:val="22"/>
          <w:szCs w:val="22"/>
        </w:rPr>
        <w:t xml:space="preserve">to then </w:t>
      </w:r>
      <w:r w:rsidR="009D29E6">
        <w:rPr>
          <w:rFonts w:ascii="Cambria" w:hAnsi="Cambria"/>
          <w:color w:val="000000"/>
          <w:sz w:val="22"/>
          <w:szCs w:val="22"/>
        </w:rPr>
        <w:t>assess outcomes, and (3) to u</w:t>
      </w:r>
      <w:r w:rsidR="00880A86" w:rsidRPr="00125AE7">
        <w:rPr>
          <w:rFonts w:ascii="Cambria" w:hAnsi="Cambria"/>
          <w:color w:val="000000"/>
          <w:sz w:val="22"/>
          <w:szCs w:val="22"/>
        </w:rPr>
        <w:t xml:space="preserve">tilize the pilots and payment reforms </w:t>
      </w:r>
      <w:r w:rsidR="009D29E6">
        <w:rPr>
          <w:rFonts w:ascii="Cambria" w:hAnsi="Cambria"/>
          <w:color w:val="000000"/>
          <w:sz w:val="22"/>
          <w:szCs w:val="22"/>
        </w:rPr>
        <w:t xml:space="preserve">outlined in </w:t>
      </w:r>
      <w:r w:rsidR="00880A86" w:rsidRPr="00125AE7">
        <w:rPr>
          <w:rFonts w:ascii="Cambria" w:hAnsi="Cambria"/>
          <w:color w:val="000000"/>
          <w:sz w:val="22"/>
          <w:szCs w:val="22"/>
        </w:rPr>
        <w:t>the ACA to support pilots that promote health based responses to drug use</w:t>
      </w:r>
      <w:r w:rsidR="009D29E6">
        <w:rPr>
          <w:rFonts w:ascii="Cambria" w:hAnsi="Cambria"/>
          <w:color w:val="000000"/>
          <w:sz w:val="22"/>
          <w:szCs w:val="22"/>
        </w:rPr>
        <w:t>,</w:t>
      </w:r>
      <w:r w:rsidR="00880A86" w:rsidRPr="00125AE7">
        <w:rPr>
          <w:rFonts w:ascii="Cambria" w:hAnsi="Cambria"/>
          <w:color w:val="000000"/>
          <w:sz w:val="22"/>
          <w:szCs w:val="22"/>
        </w:rPr>
        <w:t xml:space="preserve"> including for women of child bearing age. </w:t>
      </w:r>
    </w:p>
    <w:p w14:paraId="71597346" w14:textId="77777777" w:rsidR="00294424" w:rsidRPr="00125AE7" w:rsidRDefault="00294424" w:rsidP="00125AE7">
      <w:pPr>
        <w:pStyle w:val="ListParagraph"/>
        <w:spacing w:line="276" w:lineRule="auto"/>
        <w:ind w:left="0"/>
        <w:rPr>
          <w:rFonts w:ascii="Cambria" w:hAnsi="Cambria"/>
          <w:sz w:val="22"/>
          <w:szCs w:val="22"/>
          <w:u w:val="single"/>
        </w:rPr>
      </w:pPr>
      <w:bookmarkStart w:id="4" w:name="_Toc328674643"/>
    </w:p>
    <w:p w14:paraId="0FA82D7C" w14:textId="77777777" w:rsidR="002237A3" w:rsidRPr="00125AE7" w:rsidRDefault="007A5F56" w:rsidP="00406633">
      <w:pPr>
        <w:pStyle w:val="Heading2"/>
        <w:spacing w:before="0"/>
        <w:ind w:left="1260" w:hanging="1260"/>
        <w:rPr>
          <w:color w:val="auto"/>
          <w:sz w:val="22"/>
          <w:szCs w:val="22"/>
          <w:lang w:val="en-US"/>
        </w:rPr>
      </w:pPr>
      <w:r w:rsidRPr="00125AE7">
        <w:rPr>
          <w:color w:val="auto"/>
          <w:sz w:val="22"/>
          <w:szCs w:val="22"/>
          <w:u w:val="single"/>
        </w:rPr>
        <w:t>Objective 3</w:t>
      </w:r>
      <w:r w:rsidRPr="00125AE7">
        <w:rPr>
          <w:color w:val="auto"/>
          <w:sz w:val="22"/>
          <w:szCs w:val="22"/>
        </w:rPr>
        <w:t xml:space="preserve">: </w:t>
      </w:r>
      <w:r w:rsidR="006B214E" w:rsidRPr="00125AE7">
        <w:rPr>
          <w:color w:val="auto"/>
          <w:sz w:val="22"/>
          <w:szCs w:val="22"/>
          <w:lang w:val="en-US"/>
        </w:rPr>
        <w:t xml:space="preserve"> </w:t>
      </w:r>
      <w:r w:rsidRPr="00125AE7">
        <w:rPr>
          <w:rFonts w:eastAsia="Calibri"/>
          <w:color w:val="auto"/>
          <w:sz w:val="22"/>
          <w:szCs w:val="22"/>
        </w:rPr>
        <w:t>Supp</w:t>
      </w:r>
      <w:r w:rsidRPr="00125AE7">
        <w:rPr>
          <w:color w:val="auto"/>
          <w:sz w:val="22"/>
          <w:szCs w:val="22"/>
        </w:rPr>
        <w:t xml:space="preserve">ort community-level </w:t>
      </w:r>
      <w:r w:rsidR="002237A3" w:rsidRPr="00125AE7">
        <w:rPr>
          <w:color w:val="auto"/>
          <w:sz w:val="22"/>
          <w:szCs w:val="22"/>
          <w:lang w:val="en-US"/>
        </w:rPr>
        <w:t>alternatives</w:t>
      </w:r>
      <w:r w:rsidRPr="00125AE7">
        <w:rPr>
          <w:color w:val="auto"/>
          <w:sz w:val="22"/>
          <w:szCs w:val="22"/>
        </w:rPr>
        <w:t xml:space="preserve"> to punitive drug polic</w:t>
      </w:r>
      <w:r w:rsidR="002237A3" w:rsidRPr="00125AE7">
        <w:rPr>
          <w:color w:val="auto"/>
          <w:sz w:val="22"/>
          <w:szCs w:val="22"/>
          <w:lang w:val="en-US"/>
        </w:rPr>
        <w:t>ies</w:t>
      </w:r>
      <w:bookmarkEnd w:id="4"/>
      <w:r w:rsidR="008E1AAD" w:rsidRPr="00125AE7">
        <w:rPr>
          <w:color w:val="auto"/>
          <w:sz w:val="22"/>
          <w:szCs w:val="22"/>
          <w:lang w:val="en-US"/>
        </w:rPr>
        <w:t xml:space="preserve"> </w:t>
      </w:r>
    </w:p>
    <w:p w14:paraId="41E594A3" w14:textId="77777777" w:rsidR="002237A3" w:rsidRPr="00125AE7" w:rsidRDefault="002237A3" w:rsidP="00406633">
      <w:pPr>
        <w:pStyle w:val="Heading2"/>
        <w:spacing w:before="0"/>
        <w:ind w:left="1260" w:hanging="1260"/>
        <w:rPr>
          <w:color w:val="auto"/>
          <w:sz w:val="22"/>
          <w:szCs w:val="22"/>
          <w:lang w:val="en-US"/>
        </w:rPr>
      </w:pPr>
    </w:p>
    <w:p w14:paraId="1F83F999" w14:textId="77777777" w:rsidR="00F87203" w:rsidRPr="00125AE7" w:rsidRDefault="00F87203" w:rsidP="00406633">
      <w:pPr>
        <w:pStyle w:val="Heading2"/>
        <w:spacing w:before="0"/>
        <w:ind w:left="720"/>
        <w:rPr>
          <w:b w:val="0"/>
          <w:color w:val="auto"/>
          <w:sz w:val="22"/>
          <w:szCs w:val="22"/>
          <w:lang w:val="en-US"/>
        </w:rPr>
      </w:pPr>
      <w:r w:rsidRPr="00125AE7">
        <w:rPr>
          <w:b w:val="0"/>
          <w:color w:val="auto"/>
          <w:sz w:val="22"/>
          <w:szCs w:val="22"/>
          <w:lang w:val="en-US"/>
        </w:rPr>
        <w:t>2012 grantmaking budget: $</w:t>
      </w:r>
      <w:r w:rsidR="00AA6081">
        <w:rPr>
          <w:b w:val="0"/>
          <w:color w:val="auto"/>
          <w:sz w:val="22"/>
          <w:szCs w:val="22"/>
          <w:lang w:val="en-US"/>
        </w:rPr>
        <w:t>5</w:t>
      </w:r>
      <w:r w:rsidR="00DF33CC">
        <w:rPr>
          <w:b w:val="0"/>
          <w:color w:val="auto"/>
          <w:sz w:val="22"/>
          <w:szCs w:val="22"/>
          <w:lang w:val="en-US"/>
        </w:rPr>
        <w:t>0</w:t>
      </w:r>
      <w:r w:rsidR="00AA6081">
        <w:rPr>
          <w:b w:val="0"/>
          <w:color w:val="auto"/>
          <w:sz w:val="22"/>
          <w:szCs w:val="22"/>
          <w:lang w:val="en-US"/>
        </w:rPr>
        <w:t>0</w:t>
      </w:r>
      <w:r w:rsidR="00AA6081" w:rsidRPr="009959B0">
        <w:rPr>
          <w:b w:val="0"/>
          <w:color w:val="auto"/>
          <w:sz w:val="22"/>
          <w:szCs w:val="22"/>
          <w:lang w:val="en-US"/>
        </w:rPr>
        <w:t>,000</w:t>
      </w:r>
    </w:p>
    <w:p w14:paraId="250B27E5" w14:textId="77777777" w:rsidR="00F87203" w:rsidRPr="00125AE7" w:rsidRDefault="00F87203" w:rsidP="00406633">
      <w:pPr>
        <w:pStyle w:val="Heading2"/>
        <w:spacing w:before="0"/>
        <w:ind w:left="720"/>
        <w:rPr>
          <w:b w:val="0"/>
          <w:color w:val="auto"/>
          <w:sz w:val="22"/>
          <w:szCs w:val="22"/>
          <w:lang w:val="en-US"/>
        </w:rPr>
      </w:pPr>
      <w:r w:rsidRPr="00125AE7">
        <w:rPr>
          <w:b w:val="0"/>
          <w:color w:val="auto"/>
          <w:sz w:val="22"/>
          <w:szCs w:val="22"/>
          <w:lang w:val="en-US"/>
        </w:rPr>
        <w:t>2013 grantmaking budget: $</w:t>
      </w:r>
      <w:r w:rsidR="00EA3911">
        <w:rPr>
          <w:b w:val="0"/>
          <w:color w:val="auto"/>
          <w:sz w:val="22"/>
          <w:szCs w:val="22"/>
          <w:lang w:val="en-US"/>
        </w:rPr>
        <w:t>450</w:t>
      </w:r>
      <w:r w:rsidRPr="00125AE7">
        <w:rPr>
          <w:b w:val="0"/>
          <w:color w:val="auto"/>
          <w:sz w:val="22"/>
          <w:szCs w:val="22"/>
          <w:lang w:val="en-US"/>
        </w:rPr>
        <w:t>,000</w:t>
      </w:r>
    </w:p>
    <w:p w14:paraId="38063058" w14:textId="77777777" w:rsidR="005F28BB" w:rsidRPr="00125AE7" w:rsidRDefault="00F87203" w:rsidP="00406633">
      <w:pPr>
        <w:pStyle w:val="Heading2"/>
        <w:spacing w:before="0"/>
        <w:ind w:left="720"/>
        <w:rPr>
          <w:b w:val="0"/>
          <w:color w:val="auto"/>
          <w:sz w:val="22"/>
          <w:szCs w:val="22"/>
          <w:lang w:val="en-US"/>
        </w:rPr>
      </w:pPr>
      <w:r w:rsidRPr="00125AE7">
        <w:rPr>
          <w:b w:val="0"/>
          <w:color w:val="auto"/>
          <w:sz w:val="22"/>
          <w:szCs w:val="22"/>
          <w:lang w:val="en-US"/>
        </w:rPr>
        <w:t>2014 grantmaking budget:</w:t>
      </w:r>
      <w:r w:rsidR="002237A3" w:rsidRPr="00125AE7">
        <w:rPr>
          <w:b w:val="0"/>
          <w:color w:val="auto"/>
          <w:sz w:val="22"/>
          <w:szCs w:val="22"/>
          <w:lang w:val="en-US"/>
        </w:rPr>
        <w:t xml:space="preserve"> </w:t>
      </w:r>
      <w:r w:rsidR="008E1AAD" w:rsidRPr="00125AE7">
        <w:rPr>
          <w:b w:val="0"/>
          <w:color w:val="auto"/>
          <w:sz w:val="22"/>
          <w:szCs w:val="22"/>
          <w:lang w:val="en-US"/>
        </w:rPr>
        <w:t>$</w:t>
      </w:r>
      <w:r w:rsidR="002237A3" w:rsidRPr="00125AE7">
        <w:rPr>
          <w:b w:val="0"/>
          <w:color w:val="auto"/>
          <w:sz w:val="22"/>
          <w:szCs w:val="22"/>
          <w:lang w:val="en-US"/>
        </w:rPr>
        <w:t>550,000</w:t>
      </w:r>
    </w:p>
    <w:p w14:paraId="607963A1" w14:textId="77777777" w:rsidR="00F87203" w:rsidRPr="00125AE7" w:rsidRDefault="00F87203" w:rsidP="00406633">
      <w:pPr>
        <w:keepNext/>
        <w:keepLines/>
        <w:rPr>
          <w:rFonts w:ascii="Cambria" w:hAnsi="Cambria"/>
          <w:lang w:eastAsia="x-none"/>
        </w:rPr>
      </w:pPr>
    </w:p>
    <w:p w14:paraId="2BEFF227" w14:textId="77777777" w:rsidR="00B50357" w:rsidRPr="00125AE7" w:rsidRDefault="00B50357" w:rsidP="00406633">
      <w:pPr>
        <w:keepNext/>
        <w:keepLines/>
        <w:ind w:left="720"/>
        <w:rPr>
          <w:rFonts w:ascii="Cambria" w:hAnsi="Cambria"/>
          <w:lang w:eastAsia="x-none"/>
        </w:rPr>
      </w:pPr>
      <w:r w:rsidRPr="00125AE7">
        <w:rPr>
          <w:rFonts w:ascii="Cambria" w:hAnsi="Cambria"/>
          <w:bCs/>
        </w:rPr>
        <w:t>Program responsibility: Andy Ko and Jamie Wood</w:t>
      </w:r>
    </w:p>
    <w:p w14:paraId="2F2993C4" w14:textId="77777777" w:rsidR="007F368E" w:rsidRPr="00125AE7" w:rsidRDefault="007F368E" w:rsidP="00406633">
      <w:pPr>
        <w:keepNext/>
        <w:keepLines/>
        <w:rPr>
          <w:rFonts w:ascii="Cambria" w:eastAsia="Calibri" w:hAnsi="Cambria"/>
          <w:lang w:eastAsia="x-none"/>
        </w:rPr>
      </w:pPr>
    </w:p>
    <w:p w14:paraId="6916989F" w14:textId="0943A53E" w:rsidR="00725B10" w:rsidRDefault="00912A6F" w:rsidP="00406633">
      <w:pPr>
        <w:keepNext/>
        <w:keepLines/>
        <w:rPr>
          <w:rFonts w:ascii="Cambria" w:hAnsi="Cambria"/>
          <w:lang w:eastAsia="x-none"/>
        </w:rPr>
      </w:pPr>
      <w:r>
        <w:rPr>
          <w:rFonts w:ascii="Cambria" w:hAnsi="Cambria"/>
          <w:lang w:eastAsia="x-none"/>
        </w:rPr>
        <w:t xml:space="preserve">Our </w:t>
      </w:r>
      <w:r w:rsidR="00D75F08">
        <w:rPr>
          <w:rFonts w:ascii="Cambria" w:hAnsi="Cambria"/>
          <w:lang w:eastAsia="x-none"/>
        </w:rPr>
        <w:t xml:space="preserve">objective </w:t>
      </w:r>
      <w:r>
        <w:rPr>
          <w:rFonts w:ascii="Cambria" w:hAnsi="Cambria"/>
          <w:lang w:eastAsia="x-none"/>
        </w:rPr>
        <w:t>here is t</w:t>
      </w:r>
      <w:r w:rsidR="00725B10">
        <w:rPr>
          <w:rFonts w:ascii="Cambria" w:hAnsi="Cambria"/>
          <w:lang w:eastAsia="x-none"/>
        </w:rPr>
        <w:t>o</w:t>
      </w:r>
      <w:r>
        <w:rPr>
          <w:rFonts w:ascii="Cambria" w:hAnsi="Cambria"/>
          <w:lang w:eastAsia="x-none"/>
        </w:rPr>
        <w:t xml:space="preserve"> </w:t>
      </w:r>
      <w:r w:rsidR="00D75F08">
        <w:rPr>
          <w:rFonts w:ascii="Cambria" w:hAnsi="Cambria"/>
          <w:lang w:eastAsia="x-none"/>
        </w:rPr>
        <w:t xml:space="preserve">begin the process of dismantling </w:t>
      </w:r>
      <w:r w:rsidR="006B1750" w:rsidRPr="00125AE7">
        <w:rPr>
          <w:rFonts w:ascii="Cambria" w:hAnsi="Cambria"/>
          <w:lang w:eastAsia="x-none"/>
        </w:rPr>
        <w:t>the false Hobson’s choice</w:t>
      </w:r>
      <w:r w:rsidR="00D75F08">
        <w:rPr>
          <w:rFonts w:ascii="Cambria" w:hAnsi="Cambria"/>
          <w:lang w:eastAsia="x-none"/>
        </w:rPr>
        <w:t xml:space="preserve"> </w:t>
      </w:r>
      <w:r w:rsidR="00725B10">
        <w:rPr>
          <w:rFonts w:ascii="Cambria" w:hAnsi="Cambria"/>
          <w:lang w:eastAsia="x-none"/>
        </w:rPr>
        <w:t xml:space="preserve">by elevating solutions-oriented alternatives </w:t>
      </w:r>
      <w:r>
        <w:rPr>
          <w:rFonts w:ascii="Cambria" w:hAnsi="Cambria"/>
          <w:lang w:eastAsia="x-none"/>
        </w:rPr>
        <w:t xml:space="preserve">to </w:t>
      </w:r>
      <w:r w:rsidR="006B1750" w:rsidRPr="00125AE7">
        <w:rPr>
          <w:rFonts w:ascii="Cambria" w:hAnsi="Cambria"/>
          <w:lang w:eastAsia="x-none"/>
        </w:rPr>
        <w:t xml:space="preserve">punitive responses </w:t>
      </w:r>
      <w:r>
        <w:rPr>
          <w:rFonts w:ascii="Cambria" w:hAnsi="Cambria"/>
          <w:lang w:eastAsia="x-none"/>
        </w:rPr>
        <w:t>to drug use and subsistence level drug markets</w:t>
      </w:r>
      <w:r w:rsidR="006B1750" w:rsidRPr="00125AE7">
        <w:rPr>
          <w:rFonts w:ascii="Cambria" w:hAnsi="Cambria"/>
          <w:lang w:eastAsia="x-none"/>
        </w:rPr>
        <w:t xml:space="preserve">.  </w:t>
      </w:r>
      <w:r w:rsidR="00D75F08">
        <w:rPr>
          <w:rFonts w:ascii="Cambria" w:hAnsi="Cambria"/>
          <w:lang w:eastAsia="x-none"/>
        </w:rPr>
        <w:t>P</w:t>
      </w:r>
      <w:r w:rsidR="00725B10">
        <w:rPr>
          <w:rFonts w:ascii="Cambria" w:hAnsi="Cambria"/>
          <w:lang w:eastAsia="x-none"/>
        </w:rPr>
        <w:t>ractical experience with a different way of responding to drug related public safety and order concern</w:t>
      </w:r>
      <w:r w:rsidR="00D75F08">
        <w:rPr>
          <w:rFonts w:ascii="Cambria" w:hAnsi="Cambria"/>
          <w:lang w:eastAsia="x-none"/>
        </w:rPr>
        <w:t>s</w:t>
      </w:r>
      <w:r w:rsidR="00725B10">
        <w:rPr>
          <w:rFonts w:ascii="Cambria" w:hAnsi="Cambria"/>
          <w:lang w:eastAsia="x-none"/>
        </w:rPr>
        <w:t xml:space="preserve"> could be transformative for arrestees, police, advocates for reform</w:t>
      </w:r>
      <w:r w:rsidR="00D0226A">
        <w:rPr>
          <w:rFonts w:ascii="Cambria" w:hAnsi="Cambria"/>
          <w:lang w:eastAsia="x-none"/>
        </w:rPr>
        <w:t>,</w:t>
      </w:r>
      <w:r w:rsidR="00725B10">
        <w:rPr>
          <w:rFonts w:ascii="Cambria" w:hAnsi="Cambria"/>
          <w:lang w:eastAsia="x-none"/>
        </w:rPr>
        <w:t xml:space="preserve"> and </w:t>
      </w:r>
      <w:r w:rsidR="00D75F08">
        <w:rPr>
          <w:rFonts w:ascii="Cambria" w:hAnsi="Cambria"/>
          <w:lang w:eastAsia="x-none"/>
        </w:rPr>
        <w:t>the public.  E</w:t>
      </w:r>
      <w:r w:rsidR="00725B10">
        <w:rPr>
          <w:rFonts w:ascii="Cambria" w:hAnsi="Cambria"/>
          <w:lang w:eastAsia="x-none"/>
        </w:rPr>
        <w:t xml:space="preserve">xperience </w:t>
      </w:r>
      <w:r w:rsidR="00D75F08">
        <w:rPr>
          <w:rFonts w:ascii="Cambria" w:hAnsi="Cambria"/>
          <w:lang w:eastAsia="x-none"/>
        </w:rPr>
        <w:t xml:space="preserve">can greatly alter </w:t>
      </w:r>
      <w:r w:rsidR="00725B10">
        <w:rPr>
          <w:rFonts w:ascii="Cambria" w:hAnsi="Cambria"/>
          <w:lang w:eastAsia="x-none"/>
        </w:rPr>
        <w:t xml:space="preserve">what is </w:t>
      </w:r>
      <w:r w:rsidR="00D75F08">
        <w:rPr>
          <w:rFonts w:ascii="Cambria" w:hAnsi="Cambria"/>
          <w:lang w:eastAsia="x-none"/>
        </w:rPr>
        <w:t>view</w:t>
      </w:r>
      <w:r w:rsidR="00C7368D">
        <w:rPr>
          <w:rFonts w:ascii="Cambria" w:hAnsi="Cambria"/>
          <w:lang w:eastAsia="x-none"/>
        </w:rPr>
        <w:t>ed</w:t>
      </w:r>
      <w:r w:rsidR="00D75F08">
        <w:rPr>
          <w:rFonts w:ascii="Cambria" w:hAnsi="Cambria"/>
          <w:lang w:eastAsia="x-none"/>
        </w:rPr>
        <w:t xml:space="preserve"> as </w:t>
      </w:r>
      <w:r w:rsidR="00725B10">
        <w:rPr>
          <w:rFonts w:ascii="Cambria" w:hAnsi="Cambria"/>
          <w:lang w:eastAsia="x-none"/>
        </w:rPr>
        <w:t xml:space="preserve">“normal.” </w:t>
      </w:r>
      <w:r w:rsidR="007E6810">
        <w:rPr>
          <w:rFonts w:ascii="Cambria" w:hAnsi="Cambria"/>
          <w:lang w:eastAsia="x-none"/>
        </w:rPr>
        <w:t>In this  work, s</w:t>
      </w:r>
      <w:r w:rsidR="00725B10">
        <w:rPr>
          <w:rFonts w:ascii="Cambria" w:hAnsi="Cambria"/>
          <w:lang w:eastAsia="x-none"/>
        </w:rPr>
        <w:t>uccess would be</w:t>
      </w:r>
      <w:r w:rsidR="007E6810">
        <w:rPr>
          <w:rFonts w:ascii="Cambria" w:hAnsi="Cambria"/>
          <w:lang w:eastAsia="x-none"/>
        </w:rPr>
        <w:t xml:space="preserve"> </w:t>
      </w:r>
      <w:r w:rsidR="00D75F08">
        <w:rPr>
          <w:rFonts w:ascii="Cambria" w:hAnsi="Cambria"/>
          <w:lang w:eastAsia="x-none"/>
        </w:rPr>
        <w:t xml:space="preserve">policy in which </w:t>
      </w:r>
      <w:r w:rsidR="007E6810">
        <w:rPr>
          <w:rFonts w:ascii="Cambria" w:hAnsi="Cambria"/>
          <w:lang w:eastAsia="x-none"/>
        </w:rPr>
        <w:t xml:space="preserve">the practice of </w:t>
      </w:r>
      <w:r w:rsidR="00D0226A">
        <w:rPr>
          <w:rFonts w:ascii="Cambria" w:hAnsi="Cambria"/>
          <w:lang w:eastAsia="x-none"/>
        </w:rPr>
        <w:t>funneling</w:t>
      </w:r>
      <w:r w:rsidR="007E6810">
        <w:rPr>
          <w:rFonts w:ascii="Cambria" w:hAnsi="Cambria"/>
          <w:lang w:eastAsia="x-none"/>
        </w:rPr>
        <w:t xml:space="preserve"> people suffering </w:t>
      </w:r>
      <w:r w:rsidR="00D0226A">
        <w:rPr>
          <w:rFonts w:ascii="Cambria" w:hAnsi="Cambria"/>
          <w:lang w:eastAsia="x-none"/>
        </w:rPr>
        <w:t>with</w:t>
      </w:r>
      <w:r w:rsidR="007E6810">
        <w:rPr>
          <w:rFonts w:ascii="Cambria" w:hAnsi="Cambria"/>
          <w:lang w:eastAsia="x-none"/>
        </w:rPr>
        <w:t xml:space="preserve"> addiction into the criminal justice system</w:t>
      </w:r>
      <w:r w:rsidR="00D75F08">
        <w:rPr>
          <w:rFonts w:ascii="Cambria" w:hAnsi="Cambria"/>
          <w:lang w:eastAsia="x-none"/>
        </w:rPr>
        <w:t xml:space="preserve"> is no longer considered normal.</w:t>
      </w:r>
    </w:p>
    <w:p w14:paraId="22EA0479" w14:textId="77777777" w:rsidR="00725B10" w:rsidRDefault="00725B10" w:rsidP="00125AE7">
      <w:pPr>
        <w:rPr>
          <w:rFonts w:ascii="Cambria" w:hAnsi="Cambria"/>
          <w:lang w:eastAsia="x-none"/>
        </w:rPr>
      </w:pPr>
    </w:p>
    <w:p w14:paraId="06BA6157" w14:textId="77777777" w:rsidR="00394AF7" w:rsidRDefault="0052406B" w:rsidP="00125AE7">
      <w:pPr>
        <w:rPr>
          <w:rFonts w:ascii="Cambria" w:hAnsi="Cambria"/>
          <w:lang w:eastAsia="x-none"/>
        </w:rPr>
      </w:pPr>
      <w:r>
        <w:rPr>
          <w:rFonts w:ascii="Cambria" w:eastAsia="Calibri" w:hAnsi="Cambria"/>
          <w:lang w:eastAsia="x-none"/>
        </w:rPr>
        <w:t xml:space="preserve">It seems clear to us that </w:t>
      </w:r>
      <w:r w:rsidR="00D0226A">
        <w:rPr>
          <w:rFonts w:ascii="Cambria" w:eastAsia="Calibri" w:hAnsi="Cambria"/>
          <w:lang w:eastAsia="x-none"/>
        </w:rPr>
        <w:t xml:space="preserve">the development of </w:t>
      </w:r>
      <w:r w:rsidR="00DC552F">
        <w:rPr>
          <w:rFonts w:ascii="Cambria" w:eastAsia="Calibri" w:hAnsi="Cambria"/>
          <w:lang w:eastAsia="x-none"/>
        </w:rPr>
        <w:t>alternative</w:t>
      </w:r>
      <w:r>
        <w:rPr>
          <w:rFonts w:ascii="Cambria" w:eastAsia="Calibri" w:hAnsi="Cambria"/>
          <w:lang w:eastAsia="x-none"/>
        </w:rPr>
        <w:t xml:space="preserve"> drug law enforcement policies </w:t>
      </w:r>
      <w:r w:rsidR="00D0226A">
        <w:rPr>
          <w:rFonts w:ascii="Cambria" w:eastAsia="Calibri" w:hAnsi="Cambria"/>
          <w:lang w:eastAsia="x-none"/>
        </w:rPr>
        <w:t xml:space="preserve">is </w:t>
      </w:r>
      <w:r w:rsidR="00C7368D">
        <w:rPr>
          <w:rFonts w:ascii="Cambria" w:eastAsia="Calibri" w:hAnsi="Cambria"/>
          <w:lang w:eastAsia="x-none"/>
        </w:rPr>
        <w:t xml:space="preserve">most </w:t>
      </w:r>
      <w:r>
        <w:rPr>
          <w:rFonts w:ascii="Cambria" w:eastAsia="Calibri" w:hAnsi="Cambria"/>
          <w:lang w:eastAsia="x-none"/>
        </w:rPr>
        <w:t xml:space="preserve">viable where </w:t>
      </w:r>
      <w:r w:rsidR="00D0226A">
        <w:rPr>
          <w:rFonts w:ascii="Cambria" w:eastAsia="Calibri" w:hAnsi="Cambria"/>
          <w:lang w:eastAsia="x-none"/>
        </w:rPr>
        <w:t xml:space="preserve">that process is </w:t>
      </w:r>
      <w:r>
        <w:rPr>
          <w:rFonts w:ascii="Cambria" w:eastAsia="Calibri" w:hAnsi="Cambria"/>
          <w:lang w:eastAsia="x-none"/>
        </w:rPr>
        <w:t xml:space="preserve">grounded in the needs of </w:t>
      </w:r>
      <w:r w:rsidR="008A72A7" w:rsidRPr="00125AE7">
        <w:rPr>
          <w:rFonts w:ascii="Cambria" w:eastAsia="Calibri" w:hAnsi="Cambria"/>
          <w:lang w:eastAsia="x-none"/>
        </w:rPr>
        <w:t>local communities</w:t>
      </w:r>
      <w:r w:rsidR="00C7368D">
        <w:rPr>
          <w:rFonts w:ascii="Cambria" w:eastAsia="Calibri" w:hAnsi="Cambria"/>
          <w:lang w:eastAsia="x-none"/>
        </w:rPr>
        <w:t xml:space="preserve">.  </w:t>
      </w:r>
      <w:r w:rsidR="00D0226A">
        <w:rPr>
          <w:rFonts w:ascii="Cambria" w:eastAsia="Calibri" w:hAnsi="Cambria"/>
          <w:lang w:eastAsia="x-none"/>
        </w:rPr>
        <w:t>It is at</w:t>
      </w:r>
      <w:r w:rsidR="00C7368D">
        <w:rPr>
          <w:rFonts w:ascii="Cambria" w:eastAsia="Calibri" w:hAnsi="Cambria"/>
          <w:lang w:eastAsia="x-none"/>
        </w:rPr>
        <w:t xml:space="preserve"> the local level, </w:t>
      </w:r>
      <w:r w:rsidR="00D0226A">
        <w:rPr>
          <w:rFonts w:ascii="Cambria" w:eastAsia="Calibri" w:hAnsi="Cambria"/>
          <w:lang w:eastAsia="x-none"/>
        </w:rPr>
        <w:t xml:space="preserve">that </w:t>
      </w:r>
      <w:r w:rsidR="00C7368D">
        <w:rPr>
          <w:rFonts w:ascii="Cambria" w:eastAsia="Calibri" w:hAnsi="Cambria"/>
          <w:lang w:eastAsia="x-none"/>
        </w:rPr>
        <w:t>the</w:t>
      </w:r>
      <w:r w:rsidR="006B1750" w:rsidRPr="00125AE7">
        <w:rPr>
          <w:rFonts w:ascii="Cambria" w:hAnsi="Cambria"/>
          <w:lang w:eastAsia="x-none"/>
        </w:rPr>
        <w:t xml:space="preserve"> negative impacts of both drugs and current drug policies are most directly experienced</w:t>
      </w:r>
      <w:r>
        <w:rPr>
          <w:rFonts w:ascii="Cambria" w:hAnsi="Cambria"/>
          <w:lang w:eastAsia="x-none"/>
        </w:rPr>
        <w:t xml:space="preserve">. </w:t>
      </w:r>
      <w:r w:rsidR="00C7368D">
        <w:rPr>
          <w:rFonts w:ascii="Cambria" w:hAnsi="Cambria"/>
          <w:lang w:eastAsia="x-none"/>
        </w:rPr>
        <w:t xml:space="preserve">At the local level, </w:t>
      </w:r>
      <w:r w:rsidR="006B1750" w:rsidRPr="00125AE7">
        <w:rPr>
          <w:rFonts w:ascii="Cambria" w:hAnsi="Cambria"/>
          <w:lang w:eastAsia="x-none"/>
        </w:rPr>
        <w:t xml:space="preserve">community interests </w:t>
      </w:r>
      <w:r w:rsidR="00C7368D">
        <w:rPr>
          <w:rFonts w:ascii="Cambria" w:hAnsi="Cambria"/>
          <w:lang w:eastAsia="x-none"/>
        </w:rPr>
        <w:t xml:space="preserve">are </w:t>
      </w:r>
      <w:r w:rsidR="00D0226A">
        <w:rPr>
          <w:rFonts w:ascii="Cambria" w:hAnsi="Cambria"/>
          <w:lang w:eastAsia="x-none"/>
        </w:rPr>
        <w:t xml:space="preserve">also </w:t>
      </w:r>
      <w:r w:rsidR="00C7368D">
        <w:rPr>
          <w:rFonts w:ascii="Cambria" w:hAnsi="Cambria"/>
          <w:lang w:eastAsia="x-none"/>
        </w:rPr>
        <w:t xml:space="preserve">most likely to prevail over </w:t>
      </w:r>
      <w:r w:rsidR="00F45026" w:rsidRPr="00125AE7">
        <w:rPr>
          <w:rFonts w:ascii="Cambria" w:hAnsi="Cambria"/>
          <w:lang w:eastAsia="x-none"/>
        </w:rPr>
        <w:t xml:space="preserve">the </w:t>
      </w:r>
      <w:r w:rsidR="006B1750" w:rsidRPr="00125AE7">
        <w:rPr>
          <w:rFonts w:ascii="Cambria" w:hAnsi="Cambria"/>
          <w:lang w:eastAsia="x-none"/>
        </w:rPr>
        <w:t xml:space="preserve">political and financial interests that </w:t>
      </w:r>
      <w:r w:rsidR="00F45026" w:rsidRPr="00125AE7">
        <w:rPr>
          <w:rFonts w:ascii="Cambria" w:hAnsi="Cambria"/>
          <w:lang w:eastAsia="x-none"/>
        </w:rPr>
        <w:t>perpetuate</w:t>
      </w:r>
      <w:r w:rsidR="006B1750" w:rsidRPr="00125AE7">
        <w:rPr>
          <w:rFonts w:ascii="Cambria" w:hAnsi="Cambria"/>
          <w:lang w:eastAsia="x-none"/>
        </w:rPr>
        <w:t xml:space="preserve"> </w:t>
      </w:r>
      <w:r w:rsidR="008E6B52" w:rsidRPr="00125AE7">
        <w:rPr>
          <w:rFonts w:ascii="Cambria" w:hAnsi="Cambria"/>
          <w:lang w:eastAsia="x-none"/>
        </w:rPr>
        <w:t xml:space="preserve">punitive </w:t>
      </w:r>
      <w:r w:rsidR="006B1750" w:rsidRPr="00125AE7">
        <w:rPr>
          <w:rFonts w:ascii="Cambria" w:hAnsi="Cambria"/>
          <w:lang w:eastAsia="x-none"/>
        </w:rPr>
        <w:t>policies</w:t>
      </w:r>
      <w:r w:rsidR="008E6B52" w:rsidRPr="00125AE7">
        <w:rPr>
          <w:rFonts w:ascii="Cambria" w:hAnsi="Cambria"/>
          <w:lang w:eastAsia="x-none"/>
        </w:rPr>
        <w:t xml:space="preserve"> on the state, national and international levels</w:t>
      </w:r>
      <w:r w:rsidR="006B1750" w:rsidRPr="00125AE7">
        <w:rPr>
          <w:rFonts w:ascii="Cambria" w:hAnsi="Cambria"/>
          <w:lang w:eastAsia="x-none"/>
        </w:rPr>
        <w:t>.</w:t>
      </w:r>
      <w:r w:rsidR="008A72A7" w:rsidRPr="00125AE7">
        <w:rPr>
          <w:rFonts w:ascii="Cambria" w:eastAsia="Calibri" w:hAnsi="Cambria"/>
          <w:lang w:eastAsia="x-none"/>
        </w:rPr>
        <w:t xml:space="preserve"> </w:t>
      </w:r>
      <w:r w:rsidR="00C7368D">
        <w:rPr>
          <w:rFonts w:ascii="Cambria" w:eastAsia="Calibri" w:hAnsi="Cambria"/>
          <w:lang w:eastAsia="x-none"/>
        </w:rPr>
        <w:t>T</w:t>
      </w:r>
      <w:r w:rsidR="00DC552F">
        <w:rPr>
          <w:rFonts w:ascii="Cambria" w:eastAsia="Calibri" w:hAnsi="Cambria"/>
          <w:lang w:eastAsia="x-none"/>
        </w:rPr>
        <w:t>he U.S. Department of Justice’s recent attention to criminal justice reform and the threat posed by high levels of incarceration</w:t>
      </w:r>
      <w:r w:rsidR="00C7368D">
        <w:rPr>
          <w:rFonts w:ascii="Cambria" w:eastAsia="Calibri" w:hAnsi="Cambria"/>
          <w:lang w:eastAsia="x-none"/>
        </w:rPr>
        <w:t xml:space="preserve"> doesn’t alter our analysis, but </w:t>
      </w:r>
      <w:r w:rsidR="00DC552F">
        <w:rPr>
          <w:rFonts w:ascii="Cambria" w:eastAsia="Calibri" w:hAnsi="Cambria"/>
          <w:lang w:eastAsia="x-none"/>
        </w:rPr>
        <w:t>might</w:t>
      </w:r>
      <w:r w:rsidR="00C7368D">
        <w:rPr>
          <w:rFonts w:ascii="Cambria" w:eastAsia="Calibri" w:hAnsi="Cambria"/>
          <w:lang w:eastAsia="x-none"/>
        </w:rPr>
        <w:t xml:space="preserve"> signal </w:t>
      </w:r>
      <w:r w:rsidR="00DC552F">
        <w:rPr>
          <w:rFonts w:ascii="Cambria" w:eastAsia="Calibri" w:hAnsi="Cambria"/>
          <w:lang w:eastAsia="x-none"/>
        </w:rPr>
        <w:t xml:space="preserve">a role for the federal government in supporting this work at the community level.  </w:t>
      </w:r>
      <w:r w:rsidR="00394AF7">
        <w:rPr>
          <w:rFonts w:ascii="Cambria" w:hAnsi="Cambria"/>
          <w:lang w:eastAsia="x-none"/>
        </w:rPr>
        <w:t>Our expectations overall have, to date, been confirmed by CNDP’s</w:t>
      </w:r>
      <w:r w:rsidR="000D3554">
        <w:rPr>
          <w:rFonts w:ascii="Cambria" w:hAnsi="Cambria"/>
          <w:lang w:eastAsia="x-none"/>
        </w:rPr>
        <w:t xml:space="preserve"> </w:t>
      </w:r>
      <w:r w:rsidR="00394AF7">
        <w:rPr>
          <w:rFonts w:ascii="Cambria" w:hAnsi="Cambria"/>
          <w:lang w:eastAsia="x-none"/>
        </w:rPr>
        <w:t xml:space="preserve">investment </w:t>
      </w:r>
      <w:r w:rsidR="000D3554">
        <w:rPr>
          <w:rFonts w:ascii="Cambria" w:hAnsi="Cambria"/>
          <w:lang w:eastAsia="x-none"/>
        </w:rPr>
        <w:t>in the development, local and national profile</w:t>
      </w:r>
      <w:r w:rsidR="00D0226A">
        <w:rPr>
          <w:rFonts w:ascii="Cambria" w:hAnsi="Cambria"/>
          <w:lang w:eastAsia="x-none"/>
        </w:rPr>
        <w:t>,</w:t>
      </w:r>
      <w:r w:rsidR="000D3554">
        <w:rPr>
          <w:rFonts w:ascii="Cambria" w:hAnsi="Cambria"/>
          <w:lang w:eastAsia="x-none"/>
        </w:rPr>
        <w:t xml:space="preserve"> and adaptation/replication of the Law Enforcement Assisted Diversion (LEAD) approach </w:t>
      </w:r>
      <w:r w:rsidR="00D0226A">
        <w:rPr>
          <w:rFonts w:ascii="Cambria" w:hAnsi="Cambria"/>
          <w:lang w:eastAsia="x-none"/>
        </w:rPr>
        <w:t xml:space="preserve">devised in  </w:t>
      </w:r>
      <w:r w:rsidR="00981DC0" w:rsidRPr="00125AE7">
        <w:rPr>
          <w:rFonts w:ascii="Cambria" w:hAnsi="Cambria"/>
          <w:lang w:eastAsia="x-none"/>
        </w:rPr>
        <w:t>Seattle</w:t>
      </w:r>
      <w:r w:rsidR="000D3554">
        <w:rPr>
          <w:rFonts w:ascii="Cambria" w:hAnsi="Cambria"/>
          <w:lang w:eastAsia="x-none"/>
        </w:rPr>
        <w:t xml:space="preserve">.  </w:t>
      </w:r>
    </w:p>
    <w:p w14:paraId="3734EFBE" w14:textId="77777777" w:rsidR="00394AF7" w:rsidRDefault="00394AF7" w:rsidP="00125AE7">
      <w:pPr>
        <w:rPr>
          <w:rFonts w:ascii="Cambria" w:hAnsi="Cambria"/>
          <w:lang w:eastAsia="x-none"/>
        </w:rPr>
      </w:pPr>
    </w:p>
    <w:p w14:paraId="04DE1B27" w14:textId="77777777" w:rsidR="00394AF7" w:rsidRDefault="00462E63" w:rsidP="00125AE7">
      <w:pPr>
        <w:rPr>
          <w:rFonts w:ascii="Cambria" w:hAnsi="Cambria"/>
          <w:lang w:eastAsia="x-none"/>
        </w:rPr>
      </w:pPr>
      <w:r>
        <w:rPr>
          <w:rFonts w:ascii="Cambria" w:hAnsi="Cambria"/>
          <w:lang w:eastAsia="x-none"/>
        </w:rPr>
        <w:t>Piloted in Seattle’s Belltown neighborhood</w:t>
      </w:r>
      <w:r w:rsidR="00394AF7">
        <w:rPr>
          <w:rFonts w:ascii="Cambria" w:hAnsi="Cambria"/>
          <w:lang w:eastAsia="x-none"/>
        </w:rPr>
        <w:t xml:space="preserve"> and</w:t>
      </w:r>
      <w:r>
        <w:rPr>
          <w:rFonts w:ascii="Cambria" w:hAnsi="Cambria"/>
          <w:lang w:eastAsia="x-none"/>
        </w:rPr>
        <w:t xml:space="preserve"> recently expanded to the city’s entire downtown business district, </w:t>
      </w:r>
      <w:r w:rsidR="00BE12D0">
        <w:rPr>
          <w:rFonts w:ascii="Cambria" w:hAnsi="Cambria"/>
          <w:lang w:eastAsia="x-none"/>
        </w:rPr>
        <w:t>LEAD</w:t>
      </w:r>
      <w:r>
        <w:rPr>
          <w:rFonts w:ascii="Cambria" w:hAnsi="Cambria"/>
          <w:lang w:eastAsia="x-none"/>
        </w:rPr>
        <w:t xml:space="preserve"> is a “pre-booking” diversion program</w:t>
      </w:r>
      <w:r w:rsidR="00BF5C3F">
        <w:rPr>
          <w:rFonts w:ascii="Cambria" w:hAnsi="Cambria"/>
          <w:lang w:eastAsia="x-none"/>
        </w:rPr>
        <w:t xml:space="preserve"> developed and implemented by local stakeholders, including the Seattle Police Department, Public Defender Association, King County Prosecutor, King County Sheriff’s Department, ACLU of Washington, city and county executives and legislatures, service providers and Business Improvement District leaders.  </w:t>
      </w:r>
      <w:r>
        <w:rPr>
          <w:rFonts w:ascii="Cambria" w:hAnsi="Cambria"/>
          <w:lang w:eastAsia="x-none"/>
        </w:rPr>
        <w:t xml:space="preserve"> Based on a memorandum of understanding among community stakeholders</w:t>
      </w:r>
      <w:r w:rsidR="00BF5C3F">
        <w:rPr>
          <w:rFonts w:ascii="Cambria" w:hAnsi="Cambria"/>
          <w:lang w:eastAsia="x-none"/>
        </w:rPr>
        <w:t xml:space="preserve"> and </w:t>
      </w:r>
      <w:r w:rsidR="00394AF7">
        <w:rPr>
          <w:rFonts w:ascii="Cambria" w:hAnsi="Cambria"/>
          <w:lang w:eastAsia="x-none"/>
        </w:rPr>
        <w:t xml:space="preserve">a </w:t>
      </w:r>
      <w:r w:rsidR="00BF5C3F">
        <w:rPr>
          <w:rFonts w:ascii="Cambria" w:hAnsi="Cambria"/>
          <w:lang w:eastAsia="x-none"/>
        </w:rPr>
        <w:t xml:space="preserve">negotiated </w:t>
      </w:r>
      <w:r w:rsidR="00394AF7">
        <w:rPr>
          <w:rFonts w:ascii="Cambria" w:hAnsi="Cambria"/>
          <w:lang w:eastAsia="x-none"/>
        </w:rPr>
        <w:t xml:space="preserve">referral </w:t>
      </w:r>
      <w:r w:rsidR="00BF5C3F">
        <w:rPr>
          <w:rFonts w:ascii="Cambria" w:hAnsi="Cambria"/>
          <w:lang w:eastAsia="x-none"/>
        </w:rPr>
        <w:t xml:space="preserve">protocol, </w:t>
      </w:r>
      <w:r w:rsidR="008E51DD">
        <w:rPr>
          <w:rFonts w:ascii="Cambria" w:hAnsi="Cambria"/>
          <w:lang w:eastAsia="x-none"/>
        </w:rPr>
        <w:t xml:space="preserve">people arrest for drug possession, low-level drug distribution and prostitution in Seattle’s LEAD implementation area </w:t>
      </w:r>
      <w:r w:rsidR="00394AF7">
        <w:rPr>
          <w:rFonts w:ascii="Cambria" w:hAnsi="Cambria"/>
          <w:lang w:eastAsia="x-none"/>
        </w:rPr>
        <w:t xml:space="preserve">are </w:t>
      </w:r>
      <w:r w:rsidR="008E51DD">
        <w:rPr>
          <w:rFonts w:ascii="Cambria" w:hAnsi="Cambria"/>
          <w:lang w:eastAsia="x-none"/>
        </w:rPr>
        <w:t xml:space="preserve">offered a choice between managed services (LEAD) or traditional processing through the criminal justice system – i.e.,  jail, </w:t>
      </w:r>
      <w:r w:rsidR="006220F3">
        <w:rPr>
          <w:rFonts w:ascii="Cambria" w:hAnsi="Cambria"/>
          <w:lang w:eastAsia="x-none"/>
        </w:rPr>
        <w:t>prosecution and a possible prison sentence.</w:t>
      </w:r>
      <w:r w:rsidR="00725B10">
        <w:rPr>
          <w:rFonts w:ascii="Cambria" w:hAnsi="Cambria"/>
          <w:lang w:eastAsia="x-none"/>
        </w:rPr>
        <w:t xml:space="preserve"> </w:t>
      </w:r>
      <w:r w:rsidR="007C1331">
        <w:rPr>
          <w:rFonts w:ascii="Cambria" w:hAnsi="Cambria"/>
          <w:lang w:eastAsia="x-none"/>
        </w:rPr>
        <w:t xml:space="preserve">Based on harm reduction principles, the LEAD collaborators do not require participants to end their drug use as a condition of participation.  The only requirement is participation and the utilization of services to reduce the negative impact on the community of the individual’s drug related activities. </w:t>
      </w:r>
    </w:p>
    <w:p w14:paraId="57C45373" w14:textId="77777777" w:rsidR="00394AF7" w:rsidRDefault="00394AF7" w:rsidP="00125AE7">
      <w:pPr>
        <w:rPr>
          <w:rFonts w:ascii="Cambria" w:hAnsi="Cambria"/>
          <w:lang w:eastAsia="x-none"/>
        </w:rPr>
      </w:pPr>
    </w:p>
    <w:p w14:paraId="21C24A08" w14:textId="09FB59CA" w:rsidR="00855B4F" w:rsidRDefault="00394AF7" w:rsidP="00125AE7">
      <w:pPr>
        <w:rPr>
          <w:rFonts w:ascii="Cambria" w:hAnsi="Cambria"/>
          <w:lang w:eastAsia="x-none"/>
        </w:rPr>
      </w:pPr>
      <w:r>
        <w:rPr>
          <w:rFonts w:ascii="Cambria" w:hAnsi="Cambria"/>
          <w:lang w:eastAsia="x-none"/>
        </w:rPr>
        <w:t xml:space="preserve">While a comprehensive outcomes evaluation will is not </w:t>
      </w:r>
      <w:r w:rsidR="00B92C53">
        <w:rPr>
          <w:rFonts w:ascii="Cambria" w:hAnsi="Cambria"/>
          <w:lang w:eastAsia="x-none"/>
        </w:rPr>
        <w:t xml:space="preserve">be available before </w:t>
      </w:r>
      <w:r>
        <w:rPr>
          <w:rFonts w:ascii="Cambria" w:hAnsi="Cambria"/>
          <w:lang w:eastAsia="x-none"/>
        </w:rPr>
        <w:t xml:space="preserve"> 2015, when </w:t>
      </w:r>
      <w:r w:rsidR="00A81A7F">
        <w:rPr>
          <w:rFonts w:ascii="Cambria" w:hAnsi="Cambria"/>
          <w:lang w:eastAsia="x-none"/>
        </w:rPr>
        <w:t xml:space="preserve">the </w:t>
      </w:r>
      <w:r>
        <w:rPr>
          <w:rFonts w:ascii="Cambria" w:hAnsi="Cambria"/>
          <w:lang w:eastAsia="x-none"/>
        </w:rPr>
        <w:t xml:space="preserve">program will have </w:t>
      </w:r>
      <w:r w:rsidR="00012972">
        <w:rPr>
          <w:rFonts w:ascii="Cambria" w:hAnsi="Cambria"/>
          <w:lang w:eastAsia="x-none"/>
        </w:rPr>
        <w:t>four</w:t>
      </w:r>
      <w:r>
        <w:rPr>
          <w:rFonts w:ascii="Cambria" w:hAnsi="Cambria"/>
          <w:lang w:eastAsia="x-none"/>
        </w:rPr>
        <w:t xml:space="preserve"> years of operating data, certain impacts are already directly observable.  Homeowners and business leaders in the pilot area – the same groups that have for years called for police crackdowns on street level drug use and markets in the neighborhood – now are among the strongest proponents of LEAD.  They explain that</w:t>
      </w:r>
      <w:r w:rsidR="00B92C53">
        <w:rPr>
          <w:rFonts w:ascii="Cambria" w:hAnsi="Cambria"/>
          <w:lang w:eastAsia="x-none"/>
        </w:rPr>
        <w:t>,</w:t>
      </w:r>
      <w:r>
        <w:rPr>
          <w:rFonts w:ascii="Cambria" w:hAnsi="Cambria"/>
          <w:lang w:eastAsia="x-none"/>
        </w:rPr>
        <w:t xml:space="preserve"> for years, calling for targeted arrests was the only option they were </w:t>
      </w:r>
      <w:r w:rsidR="00B92C53">
        <w:rPr>
          <w:rFonts w:ascii="Cambria" w:hAnsi="Cambria"/>
          <w:lang w:eastAsia="x-none"/>
        </w:rPr>
        <w:t>offered</w:t>
      </w:r>
      <w:r>
        <w:rPr>
          <w:rFonts w:ascii="Cambria" w:hAnsi="Cambria"/>
          <w:lang w:eastAsia="x-none"/>
        </w:rPr>
        <w:t xml:space="preserve"> to reduce </w:t>
      </w:r>
      <w:r w:rsidR="00855B4F">
        <w:rPr>
          <w:rFonts w:ascii="Cambria" w:hAnsi="Cambria"/>
          <w:lang w:eastAsia="x-none"/>
        </w:rPr>
        <w:t xml:space="preserve">disruptive street life.  Similarly, the attitudes of patrol officers and brass have undergone an interesting transformation. Not long after the program became operational, street level officers requested authorization </w:t>
      </w:r>
      <w:r w:rsidR="00A81A7F">
        <w:rPr>
          <w:rFonts w:ascii="Cambria" w:hAnsi="Cambria"/>
          <w:lang w:eastAsia="x-none"/>
        </w:rPr>
        <w:t xml:space="preserve">to </w:t>
      </w:r>
      <w:r w:rsidR="00855B4F">
        <w:rPr>
          <w:rFonts w:ascii="Cambria" w:hAnsi="Cambria"/>
          <w:lang w:eastAsia="x-none"/>
        </w:rPr>
        <w:t xml:space="preserve">make LEAD referrals based on community contacts with drug users </w:t>
      </w:r>
      <w:r w:rsidR="00E96DA9">
        <w:rPr>
          <w:rFonts w:ascii="Cambria" w:hAnsi="Cambria"/>
          <w:lang w:eastAsia="x-none"/>
        </w:rPr>
        <w:t>in situations where</w:t>
      </w:r>
      <w:r w:rsidR="00855B4F">
        <w:rPr>
          <w:rFonts w:ascii="Cambria" w:hAnsi="Cambria"/>
          <w:lang w:eastAsia="x-none"/>
        </w:rPr>
        <w:t xml:space="preserve"> they did not (yet) have probable cause to arrest.  When told that was not the purpose of LEAD, their reported response was, “You’re telling us that we have to arrest someone to get them help?” The transformation of outlook among police executives and prosecutors </w:t>
      </w:r>
      <w:r w:rsidR="008755A2">
        <w:rPr>
          <w:rFonts w:ascii="Cambria" w:hAnsi="Cambria"/>
          <w:lang w:eastAsia="x-none"/>
        </w:rPr>
        <w:t xml:space="preserve">is </w:t>
      </w:r>
      <w:r w:rsidR="00B92C53">
        <w:rPr>
          <w:rFonts w:ascii="Cambria" w:hAnsi="Cambria"/>
          <w:lang w:eastAsia="x-none"/>
        </w:rPr>
        <w:t>similarly</w:t>
      </w:r>
      <w:r w:rsidR="008755A2">
        <w:rPr>
          <w:rFonts w:ascii="Cambria" w:hAnsi="Cambria"/>
          <w:lang w:eastAsia="x-none"/>
        </w:rPr>
        <w:t xml:space="preserve"> significant</w:t>
      </w:r>
      <w:r w:rsidR="00855B4F">
        <w:rPr>
          <w:rFonts w:ascii="Cambria" w:hAnsi="Cambria"/>
          <w:lang w:eastAsia="x-none"/>
        </w:rPr>
        <w:t xml:space="preserve">.  In particular, former interim Police Chief James Pugel and </w:t>
      </w:r>
      <w:r w:rsidR="008755A2">
        <w:rPr>
          <w:rFonts w:ascii="Cambria" w:hAnsi="Cambria"/>
          <w:lang w:eastAsia="x-none"/>
        </w:rPr>
        <w:t xml:space="preserve">Prosecutor </w:t>
      </w:r>
      <w:r w:rsidR="00855B4F">
        <w:rPr>
          <w:rFonts w:ascii="Cambria" w:hAnsi="Cambria"/>
          <w:lang w:eastAsia="x-none"/>
        </w:rPr>
        <w:t>Dan Satterberg incorporated harm reduction principles into their work to a degree that would have been unimaginable a few years before their participation in the development of LEAD.</w:t>
      </w:r>
    </w:p>
    <w:p w14:paraId="359ED3EC" w14:textId="77777777" w:rsidR="00855B4F" w:rsidRDefault="00855B4F" w:rsidP="00125AE7">
      <w:pPr>
        <w:rPr>
          <w:rFonts w:ascii="Cambria" w:hAnsi="Cambria"/>
          <w:lang w:eastAsia="x-none"/>
        </w:rPr>
      </w:pPr>
    </w:p>
    <w:p w14:paraId="2B81F4BE" w14:textId="0E229431" w:rsidR="0052406B" w:rsidRPr="0052406B" w:rsidRDefault="00186BAE" w:rsidP="00125AE7">
      <w:pPr>
        <w:rPr>
          <w:rFonts w:ascii="Cambria" w:hAnsi="Cambria"/>
          <w:lang w:eastAsia="x-none"/>
        </w:rPr>
      </w:pPr>
      <w:r>
        <w:rPr>
          <w:rFonts w:ascii="Cambria" w:hAnsi="Cambria"/>
          <w:lang w:eastAsia="x-none"/>
        </w:rPr>
        <w:t xml:space="preserve">A challenge specific to our </w:t>
      </w:r>
      <w:r w:rsidR="0052406B" w:rsidRPr="0052406B">
        <w:rPr>
          <w:rFonts w:ascii="Cambria" w:hAnsi="Cambria"/>
          <w:lang w:eastAsia="x-none"/>
        </w:rPr>
        <w:t xml:space="preserve">community-level focus is </w:t>
      </w:r>
      <w:r>
        <w:rPr>
          <w:rFonts w:ascii="Cambria" w:hAnsi="Cambria"/>
          <w:lang w:eastAsia="x-none"/>
        </w:rPr>
        <w:t>the risk that a</w:t>
      </w:r>
      <w:r w:rsidR="0052406B" w:rsidRPr="0052406B">
        <w:rPr>
          <w:rFonts w:ascii="Cambria" w:hAnsi="Cambria"/>
          <w:lang w:eastAsia="x-none"/>
        </w:rPr>
        <w:t xml:space="preserve"> groundbreaking</w:t>
      </w:r>
      <w:r w:rsidR="00E55CB9">
        <w:rPr>
          <w:rFonts w:ascii="Cambria" w:hAnsi="Cambria"/>
          <w:lang w:eastAsia="x-none"/>
        </w:rPr>
        <w:t xml:space="preserve"> or transformative</w:t>
      </w:r>
      <w:r w:rsidR="0052406B" w:rsidRPr="0052406B">
        <w:rPr>
          <w:rFonts w:ascii="Cambria" w:hAnsi="Cambria"/>
          <w:lang w:eastAsia="x-none"/>
        </w:rPr>
        <w:t xml:space="preserve"> program </w:t>
      </w:r>
      <w:r>
        <w:rPr>
          <w:rFonts w:ascii="Cambria" w:hAnsi="Cambria"/>
          <w:lang w:eastAsia="x-none"/>
        </w:rPr>
        <w:t>will</w:t>
      </w:r>
      <w:r w:rsidR="0052406B" w:rsidRPr="0052406B">
        <w:rPr>
          <w:rFonts w:ascii="Cambria" w:hAnsi="Cambria"/>
          <w:lang w:eastAsia="x-none"/>
        </w:rPr>
        <w:t xml:space="preserve"> be a tree falling in the forest: never heard beyond the isolate confines of the local jurisdiction and </w:t>
      </w:r>
      <w:r>
        <w:rPr>
          <w:rFonts w:ascii="Cambria" w:hAnsi="Cambria"/>
          <w:lang w:eastAsia="x-none"/>
        </w:rPr>
        <w:t xml:space="preserve">even more </w:t>
      </w:r>
      <w:r w:rsidR="0052406B" w:rsidRPr="0052406B">
        <w:rPr>
          <w:rFonts w:ascii="Cambria" w:hAnsi="Cambria"/>
          <w:lang w:eastAsia="x-none"/>
        </w:rPr>
        <w:t xml:space="preserve">likely to disappear with a change of elected and/or law enforcement leadership. CNDP staff </w:t>
      </w:r>
      <w:r>
        <w:rPr>
          <w:rFonts w:ascii="Cambria" w:hAnsi="Cambria"/>
          <w:lang w:eastAsia="x-none"/>
        </w:rPr>
        <w:t xml:space="preserve">has </w:t>
      </w:r>
      <w:r w:rsidR="0052406B" w:rsidRPr="0052406B">
        <w:rPr>
          <w:rFonts w:ascii="Cambria" w:hAnsi="Cambria"/>
          <w:lang w:eastAsia="x-none"/>
        </w:rPr>
        <w:t>play</w:t>
      </w:r>
      <w:r>
        <w:rPr>
          <w:rFonts w:ascii="Cambria" w:hAnsi="Cambria"/>
          <w:lang w:eastAsia="x-none"/>
        </w:rPr>
        <w:t>ed</w:t>
      </w:r>
      <w:r w:rsidR="0052406B" w:rsidRPr="0052406B">
        <w:rPr>
          <w:rFonts w:ascii="Cambria" w:hAnsi="Cambria"/>
          <w:lang w:eastAsia="x-none"/>
        </w:rPr>
        <w:t xml:space="preserve"> an important role </w:t>
      </w:r>
      <w:r>
        <w:rPr>
          <w:rFonts w:ascii="Cambria" w:hAnsi="Cambria"/>
          <w:lang w:eastAsia="x-none"/>
        </w:rPr>
        <w:t xml:space="preserve">here </w:t>
      </w:r>
      <w:r w:rsidR="0052406B" w:rsidRPr="0052406B">
        <w:rPr>
          <w:rFonts w:ascii="Cambria" w:hAnsi="Cambria"/>
          <w:lang w:eastAsia="x-none"/>
        </w:rPr>
        <w:t xml:space="preserve">by ensuring that our grantees and non-grantee partners’ </w:t>
      </w:r>
      <w:r w:rsidR="002A3F3E">
        <w:rPr>
          <w:rFonts w:ascii="Cambria" w:hAnsi="Cambria"/>
          <w:lang w:eastAsia="x-none"/>
        </w:rPr>
        <w:t xml:space="preserve">place-specific </w:t>
      </w:r>
      <w:r w:rsidR="0052406B" w:rsidRPr="0052406B">
        <w:rPr>
          <w:rFonts w:ascii="Cambria" w:hAnsi="Cambria"/>
          <w:lang w:eastAsia="x-none"/>
        </w:rPr>
        <w:t xml:space="preserve">work is noticed in other jurisdictions and among other actors in the field.  </w:t>
      </w:r>
      <w:r w:rsidR="00492D69">
        <w:rPr>
          <w:rFonts w:ascii="Cambria" w:hAnsi="Cambria"/>
          <w:lang w:eastAsia="x-none"/>
        </w:rPr>
        <w:t xml:space="preserve">OSF </w:t>
      </w:r>
      <w:r w:rsidR="00281329">
        <w:rPr>
          <w:rFonts w:ascii="Cambria" w:hAnsi="Cambria"/>
          <w:lang w:eastAsia="x-none"/>
        </w:rPr>
        <w:t xml:space="preserve">network </w:t>
      </w:r>
      <w:r w:rsidR="00492D69">
        <w:rPr>
          <w:rFonts w:ascii="Cambria" w:hAnsi="Cambria"/>
          <w:lang w:eastAsia="x-none"/>
        </w:rPr>
        <w:t xml:space="preserve">partners </w:t>
      </w:r>
      <w:r w:rsidR="00281329">
        <w:rPr>
          <w:rFonts w:ascii="Cambria" w:hAnsi="Cambria"/>
          <w:lang w:eastAsia="x-none"/>
        </w:rPr>
        <w:t>International Harm Reduction Development Program (</w:t>
      </w:r>
      <w:r w:rsidR="00492D69">
        <w:rPr>
          <w:rFonts w:ascii="Cambria" w:hAnsi="Cambria"/>
          <w:lang w:eastAsia="x-none"/>
        </w:rPr>
        <w:t>IHRD</w:t>
      </w:r>
      <w:r w:rsidR="00281329">
        <w:rPr>
          <w:rFonts w:ascii="Cambria" w:hAnsi="Cambria"/>
          <w:lang w:eastAsia="x-none"/>
        </w:rPr>
        <w:t>)</w:t>
      </w:r>
      <w:r w:rsidR="00492D69">
        <w:rPr>
          <w:rFonts w:ascii="Cambria" w:hAnsi="Cambria"/>
          <w:lang w:eastAsia="x-none"/>
        </w:rPr>
        <w:t xml:space="preserve"> and </w:t>
      </w:r>
      <w:r w:rsidR="00281329">
        <w:rPr>
          <w:rFonts w:ascii="Cambria" w:hAnsi="Cambria"/>
          <w:lang w:eastAsia="x-none"/>
        </w:rPr>
        <w:t>Global Drug Policy Program (</w:t>
      </w:r>
      <w:r w:rsidR="00492D69">
        <w:rPr>
          <w:rFonts w:ascii="Cambria" w:hAnsi="Cambria"/>
          <w:lang w:eastAsia="x-none"/>
        </w:rPr>
        <w:t>GD</w:t>
      </w:r>
      <w:r w:rsidR="00E96DA9">
        <w:rPr>
          <w:rFonts w:ascii="Cambria" w:hAnsi="Cambria"/>
          <w:lang w:eastAsia="x-none"/>
        </w:rPr>
        <w:t>P</w:t>
      </w:r>
      <w:r w:rsidR="00492D69">
        <w:rPr>
          <w:rFonts w:ascii="Cambria" w:hAnsi="Cambria"/>
          <w:lang w:eastAsia="x-none"/>
        </w:rPr>
        <w:t>P</w:t>
      </w:r>
      <w:r w:rsidR="00281329">
        <w:rPr>
          <w:rFonts w:ascii="Cambria" w:hAnsi="Cambria"/>
          <w:lang w:eastAsia="x-none"/>
        </w:rPr>
        <w:t xml:space="preserve">), as well as OSF grantees International Drug Policy Consortium (GDPP) and Harm Reduction Coalition (CNDP, IHRD and GDPP), </w:t>
      </w:r>
      <w:r w:rsidR="00492D69">
        <w:rPr>
          <w:rFonts w:ascii="Cambria" w:hAnsi="Cambria"/>
          <w:lang w:eastAsia="x-none"/>
        </w:rPr>
        <w:t>have also supported and adapted the LEAD experience and enlisted the Seattle stakeholders in United Nations and other international processes.  OSF</w:t>
      </w:r>
      <w:r w:rsidR="00B92C53">
        <w:rPr>
          <w:rFonts w:ascii="Cambria" w:hAnsi="Cambria"/>
          <w:lang w:eastAsia="x-none"/>
        </w:rPr>
        <w:t>’s</w:t>
      </w:r>
      <w:r w:rsidR="00492D69">
        <w:rPr>
          <w:rFonts w:ascii="Cambria" w:hAnsi="Cambria"/>
          <w:lang w:eastAsia="x-none"/>
        </w:rPr>
        <w:t xml:space="preserve"> drug policy programs have also facilitated site visits by our grantees and partners to observe LEAD in operation, including a recent two-day session by Chinese officials organized and supported by IHRD.</w:t>
      </w:r>
    </w:p>
    <w:p w14:paraId="3396E3AF" w14:textId="77777777" w:rsidR="00DC552F" w:rsidRDefault="00DC552F" w:rsidP="00125AE7">
      <w:pPr>
        <w:rPr>
          <w:rFonts w:ascii="Cambria" w:hAnsi="Cambria"/>
          <w:lang w:eastAsia="x-none"/>
        </w:rPr>
      </w:pPr>
    </w:p>
    <w:p w14:paraId="3EA96F11" w14:textId="78805C0F" w:rsidR="00E63220" w:rsidRDefault="002A3F3E" w:rsidP="00125AE7">
      <w:pPr>
        <w:rPr>
          <w:rFonts w:ascii="Cambria" w:hAnsi="Cambria"/>
          <w:lang w:eastAsia="x-none"/>
        </w:rPr>
      </w:pPr>
      <w:r>
        <w:rPr>
          <w:rFonts w:ascii="Cambria" w:hAnsi="Cambria"/>
          <w:lang w:eastAsia="x-none"/>
        </w:rPr>
        <w:t xml:space="preserve">This </w:t>
      </w:r>
      <w:r w:rsidR="002A589C">
        <w:rPr>
          <w:rFonts w:ascii="Cambria" w:hAnsi="Cambria"/>
          <w:lang w:eastAsia="x-none"/>
        </w:rPr>
        <w:t xml:space="preserve">deep </w:t>
      </w:r>
      <w:r>
        <w:rPr>
          <w:rFonts w:ascii="Cambria" w:hAnsi="Cambria"/>
          <w:lang w:eastAsia="x-none"/>
        </w:rPr>
        <w:t>engagement by the campaign</w:t>
      </w:r>
      <w:r w:rsidR="00D27BF3">
        <w:rPr>
          <w:rFonts w:ascii="Cambria" w:hAnsi="Cambria"/>
          <w:lang w:eastAsia="x-none"/>
        </w:rPr>
        <w:t xml:space="preserve"> and other OSF programs</w:t>
      </w:r>
      <w:r>
        <w:rPr>
          <w:rFonts w:ascii="Cambria" w:hAnsi="Cambria"/>
          <w:lang w:eastAsia="x-none"/>
        </w:rPr>
        <w:t xml:space="preserve">, like our health care reform work, has had an interesting effect.  The Drug Policy Alliance was initially wary of LEAD and the </w:t>
      </w:r>
      <w:r w:rsidR="0050668C">
        <w:rPr>
          <w:rFonts w:ascii="Cambria" w:hAnsi="Cambria"/>
          <w:lang w:eastAsia="x-none"/>
        </w:rPr>
        <w:t>risk it</w:t>
      </w:r>
      <w:r>
        <w:rPr>
          <w:rFonts w:ascii="Cambria" w:hAnsi="Cambria"/>
          <w:lang w:eastAsia="x-none"/>
        </w:rPr>
        <w:t xml:space="preserve"> saw for the reinforcement of law enforcement control over drug policy.  </w:t>
      </w:r>
      <w:r w:rsidR="002A589C">
        <w:rPr>
          <w:rFonts w:ascii="Cambria" w:hAnsi="Cambria"/>
          <w:lang w:eastAsia="x-none"/>
        </w:rPr>
        <w:t xml:space="preserve">Our first substantive engagement was with </w:t>
      </w:r>
      <w:r>
        <w:rPr>
          <w:rFonts w:ascii="Cambria" w:hAnsi="Cambria"/>
          <w:lang w:eastAsia="x-none"/>
        </w:rPr>
        <w:t>DPA’s state offices</w:t>
      </w:r>
      <w:r w:rsidR="002A589C">
        <w:rPr>
          <w:rFonts w:ascii="Cambria" w:hAnsi="Cambria"/>
          <w:lang w:eastAsia="x-none"/>
        </w:rPr>
        <w:t xml:space="preserve">, which </w:t>
      </w:r>
      <w:r>
        <w:rPr>
          <w:rFonts w:ascii="Cambria" w:hAnsi="Cambria"/>
          <w:lang w:eastAsia="x-none"/>
        </w:rPr>
        <w:t xml:space="preserve">were the first to see the potential </w:t>
      </w:r>
      <w:r w:rsidR="002A589C">
        <w:rPr>
          <w:rFonts w:ascii="Cambria" w:hAnsi="Cambria"/>
          <w:lang w:eastAsia="x-none"/>
        </w:rPr>
        <w:t>of</w:t>
      </w:r>
      <w:r>
        <w:rPr>
          <w:rFonts w:ascii="Cambria" w:hAnsi="Cambria"/>
          <w:lang w:eastAsia="x-none"/>
        </w:rPr>
        <w:t xml:space="preserve"> working toward the transformation of the role of </w:t>
      </w:r>
      <w:r w:rsidR="002A589C">
        <w:rPr>
          <w:rFonts w:ascii="Cambria" w:hAnsi="Cambria"/>
          <w:lang w:eastAsia="x-none"/>
        </w:rPr>
        <w:t xml:space="preserve">local </w:t>
      </w:r>
      <w:r>
        <w:rPr>
          <w:rFonts w:ascii="Cambria" w:hAnsi="Cambria"/>
          <w:lang w:eastAsia="x-none"/>
        </w:rPr>
        <w:t xml:space="preserve">police from enforcers of punitive drug laws to that of first responders. </w:t>
      </w:r>
      <w:r w:rsidR="006134B1">
        <w:rPr>
          <w:rFonts w:ascii="Cambria" w:hAnsi="Cambria"/>
          <w:lang w:eastAsia="x-none"/>
        </w:rPr>
        <w:t>DPA’s New Mexico office successfully built local support for adaptation of LEAD to Santa Fe’s local condition</w:t>
      </w:r>
      <w:r w:rsidR="002A589C">
        <w:rPr>
          <w:rFonts w:ascii="Cambria" w:hAnsi="Cambria"/>
          <w:lang w:eastAsia="x-none"/>
        </w:rPr>
        <w:t>s</w:t>
      </w:r>
      <w:r w:rsidR="006134B1">
        <w:rPr>
          <w:rFonts w:ascii="Cambria" w:hAnsi="Cambria"/>
          <w:lang w:eastAsia="x-none"/>
        </w:rPr>
        <w:t xml:space="preserve"> and implementation </w:t>
      </w:r>
      <w:r w:rsidR="00A81A7F">
        <w:rPr>
          <w:rFonts w:ascii="Cambria" w:hAnsi="Cambria"/>
          <w:lang w:eastAsia="x-none"/>
        </w:rPr>
        <w:t xml:space="preserve">began </w:t>
      </w:r>
      <w:r w:rsidR="006134B1">
        <w:rPr>
          <w:rFonts w:ascii="Cambria" w:hAnsi="Cambria"/>
          <w:lang w:eastAsia="x-none"/>
        </w:rPr>
        <w:t>earlier this year. DPA’s</w:t>
      </w:r>
      <w:r w:rsidR="0050668C">
        <w:rPr>
          <w:rFonts w:ascii="Cambria" w:hAnsi="Cambria"/>
          <w:lang w:eastAsia="x-none"/>
        </w:rPr>
        <w:t xml:space="preserve"> </w:t>
      </w:r>
      <w:r w:rsidR="006134B1">
        <w:rPr>
          <w:rFonts w:ascii="Cambria" w:hAnsi="Cambria"/>
          <w:lang w:eastAsia="x-none"/>
        </w:rPr>
        <w:t xml:space="preserve">state programs are </w:t>
      </w:r>
      <w:r w:rsidR="0050668C">
        <w:rPr>
          <w:rFonts w:ascii="Cambria" w:hAnsi="Cambria"/>
          <w:lang w:eastAsia="x-none"/>
        </w:rPr>
        <w:t xml:space="preserve">also </w:t>
      </w:r>
      <w:r w:rsidR="006134B1">
        <w:rPr>
          <w:rFonts w:ascii="Cambria" w:hAnsi="Cambria"/>
          <w:lang w:eastAsia="x-none"/>
        </w:rPr>
        <w:t>working in other jurisdictions, such as Albany and San Francisco, to adapt LEAD to local conditions.  USP grantees VOCAL-NY, Racial Justice Action Center, Texas Criminal Justice Coalition, Institute of the Black World 21</w:t>
      </w:r>
      <w:r w:rsidR="006134B1" w:rsidRPr="00125AE7">
        <w:rPr>
          <w:rFonts w:ascii="Cambria" w:hAnsi="Cambria"/>
          <w:vertAlign w:val="superscript"/>
          <w:lang w:eastAsia="x-none"/>
        </w:rPr>
        <w:t>st</w:t>
      </w:r>
      <w:r w:rsidR="006134B1">
        <w:rPr>
          <w:rFonts w:ascii="Cambria" w:hAnsi="Cambria"/>
          <w:lang w:eastAsia="x-none"/>
        </w:rPr>
        <w:t xml:space="preserve"> Century and Community Renewal Society are exploring similar adaptations in New York City, Atlanta</w:t>
      </w:r>
      <w:r w:rsidR="0050668C">
        <w:rPr>
          <w:rFonts w:ascii="Cambria" w:hAnsi="Cambria"/>
          <w:lang w:eastAsia="x-none"/>
        </w:rPr>
        <w:t>,</w:t>
      </w:r>
      <w:r w:rsidR="006134B1">
        <w:rPr>
          <w:rFonts w:ascii="Cambria" w:hAnsi="Cambria"/>
          <w:lang w:eastAsia="x-none"/>
        </w:rPr>
        <w:t xml:space="preserve"> Houston, Pittsburgh, the District of Columbia, and Chicago.  </w:t>
      </w:r>
    </w:p>
    <w:p w14:paraId="0516A563" w14:textId="77777777" w:rsidR="00E63220" w:rsidRDefault="00E63220" w:rsidP="00125AE7">
      <w:pPr>
        <w:rPr>
          <w:rFonts w:ascii="Cambria" w:hAnsi="Cambria"/>
          <w:lang w:eastAsia="x-none"/>
        </w:rPr>
      </w:pPr>
    </w:p>
    <w:p w14:paraId="50D38202" w14:textId="653432E1" w:rsidR="00D27BF3" w:rsidRDefault="00E63220" w:rsidP="00125AE7">
      <w:pPr>
        <w:rPr>
          <w:rFonts w:ascii="Cambria" w:hAnsi="Cambria"/>
          <w:lang w:eastAsia="x-none"/>
        </w:rPr>
      </w:pPr>
      <w:r>
        <w:rPr>
          <w:rFonts w:ascii="Cambria" w:hAnsi="Cambria"/>
          <w:lang w:eastAsia="x-none"/>
        </w:rPr>
        <w:t>The lesson we</w:t>
      </w:r>
      <w:r w:rsidR="0050668C">
        <w:rPr>
          <w:rFonts w:ascii="Cambria" w:hAnsi="Cambria"/>
          <w:lang w:eastAsia="x-none"/>
        </w:rPr>
        <w:t xml:space="preserve"> draw</w:t>
      </w:r>
      <w:r>
        <w:rPr>
          <w:rFonts w:ascii="Cambria" w:hAnsi="Cambria"/>
          <w:lang w:eastAsia="x-none"/>
        </w:rPr>
        <w:t xml:space="preserve"> from this is that small local innovations can, with adequate support, resonate far beyond a community’s borders. </w:t>
      </w:r>
      <w:r w:rsidR="00492D69">
        <w:rPr>
          <w:rFonts w:ascii="Cambria" w:hAnsi="Cambria"/>
          <w:lang w:eastAsia="x-none"/>
        </w:rPr>
        <w:t xml:space="preserve">We were initially concerned that LEAD would be received as a “model” rather than an approach founded </w:t>
      </w:r>
      <w:r w:rsidR="00655C48">
        <w:rPr>
          <w:rFonts w:ascii="Cambria" w:hAnsi="Cambria"/>
          <w:lang w:eastAsia="x-none"/>
        </w:rPr>
        <w:t>o</w:t>
      </w:r>
      <w:r w:rsidR="00492D69">
        <w:rPr>
          <w:rFonts w:ascii="Cambria" w:hAnsi="Cambria"/>
          <w:lang w:eastAsia="x-none"/>
        </w:rPr>
        <w:t>n harm reduction principles and adaptable to local conditions.  At least with the second LEAD program in Santa Fe, that concern appears to have been unwarranted</w:t>
      </w:r>
      <w:r w:rsidR="00D27BF3">
        <w:rPr>
          <w:rFonts w:ascii="Cambria" w:hAnsi="Cambria"/>
          <w:lang w:eastAsia="x-none"/>
        </w:rPr>
        <w:t>.  LEAD</w:t>
      </w:r>
      <w:r w:rsidR="002A589C">
        <w:rPr>
          <w:rFonts w:ascii="Cambria" w:hAnsi="Cambria"/>
          <w:lang w:eastAsia="x-none"/>
        </w:rPr>
        <w:t>, as implement</w:t>
      </w:r>
      <w:r w:rsidR="00A81A7F">
        <w:rPr>
          <w:rFonts w:ascii="Cambria" w:hAnsi="Cambria"/>
          <w:lang w:eastAsia="x-none"/>
        </w:rPr>
        <w:t>ed</w:t>
      </w:r>
      <w:r w:rsidR="002A589C">
        <w:rPr>
          <w:rFonts w:ascii="Cambria" w:hAnsi="Cambria"/>
          <w:lang w:eastAsia="x-none"/>
        </w:rPr>
        <w:t xml:space="preserve"> in New Mexico</w:t>
      </w:r>
      <w:r w:rsidR="0050668C">
        <w:rPr>
          <w:rFonts w:ascii="Cambria" w:hAnsi="Cambria"/>
          <w:lang w:eastAsia="x-none"/>
        </w:rPr>
        <w:t>,</w:t>
      </w:r>
      <w:r w:rsidR="002A589C">
        <w:rPr>
          <w:rFonts w:ascii="Cambria" w:hAnsi="Cambria"/>
          <w:lang w:eastAsia="x-none"/>
        </w:rPr>
        <w:t xml:space="preserve"> was built in close consultation with the Seattle stakeholders</w:t>
      </w:r>
      <w:r w:rsidR="00D27BF3">
        <w:rPr>
          <w:rFonts w:ascii="Cambria" w:hAnsi="Cambria"/>
          <w:lang w:eastAsia="x-none"/>
        </w:rPr>
        <w:t xml:space="preserve">, but </w:t>
      </w:r>
      <w:r w:rsidR="0050703E">
        <w:rPr>
          <w:rFonts w:ascii="Cambria" w:hAnsi="Cambria"/>
          <w:lang w:eastAsia="x-none"/>
        </w:rPr>
        <w:t xml:space="preserve">it </w:t>
      </w:r>
      <w:r w:rsidR="00D27BF3">
        <w:rPr>
          <w:rFonts w:ascii="Cambria" w:hAnsi="Cambria"/>
          <w:lang w:eastAsia="x-none"/>
        </w:rPr>
        <w:t xml:space="preserve">is </w:t>
      </w:r>
      <w:r w:rsidR="002A589C">
        <w:rPr>
          <w:rFonts w:ascii="Cambria" w:hAnsi="Cambria"/>
          <w:lang w:eastAsia="x-none"/>
        </w:rPr>
        <w:t>distinct</w:t>
      </w:r>
      <w:r w:rsidR="00D27BF3">
        <w:rPr>
          <w:rFonts w:ascii="Cambria" w:hAnsi="Cambria"/>
          <w:lang w:eastAsia="x-none"/>
        </w:rPr>
        <w:t xml:space="preserve"> and tailored to the specific concerns of the local community (property crime related to opiate addiction)</w:t>
      </w:r>
      <w:r w:rsidR="002A589C">
        <w:rPr>
          <w:rFonts w:ascii="Cambria" w:hAnsi="Cambria"/>
          <w:lang w:eastAsia="x-none"/>
        </w:rPr>
        <w:t>.</w:t>
      </w:r>
      <w:r w:rsidR="00492D69">
        <w:rPr>
          <w:rFonts w:ascii="Cambria" w:hAnsi="Cambria"/>
          <w:lang w:eastAsia="x-none"/>
        </w:rPr>
        <w:t xml:space="preserve"> </w:t>
      </w:r>
    </w:p>
    <w:p w14:paraId="5D2F65A9" w14:textId="77777777" w:rsidR="00D27BF3" w:rsidRDefault="00D27BF3" w:rsidP="00125AE7">
      <w:pPr>
        <w:rPr>
          <w:rFonts w:ascii="Cambria" w:hAnsi="Cambria"/>
          <w:lang w:eastAsia="x-none"/>
        </w:rPr>
      </w:pPr>
    </w:p>
    <w:p w14:paraId="7E5BE38D" w14:textId="006C4A22" w:rsidR="001B20C9" w:rsidRDefault="00655C48" w:rsidP="00125AE7">
      <w:pPr>
        <w:rPr>
          <w:rFonts w:ascii="Cambria" w:hAnsi="Cambria"/>
          <w:lang w:eastAsia="x-none"/>
        </w:rPr>
      </w:pPr>
      <w:r>
        <w:rPr>
          <w:rFonts w:ascii="Cambria" w:hAnsi="Cambria"/>
          <w:lang w:eastAsia="x-none"/>
        </w:rPr>
        <w:t xml:space="preserve">We are very conscious that interest from within the field could be driven by groups’ </w:t>
      </w:r>
      <w:r w:rsidR="00D27BF3">
        <w:rPr>
          <w:rFonts w:ascii="Cambria" w:hAnsi="Cambria"/>
          <w:lang w:eastAsia="x-none"/>
        </w:rPr>
        <w:t xml:space="preserve">perception of a significance </w:t>
      </w:r>
      <w:r w:rsidR="00FF413F">
        <w:rPr>
          <w:rFonts w:ascii="Cambria" w:hAnsi="Cambria"/>
          <w:lang w:eastAsia="x-none"/>
        </w:rPr>
        <w:t xml:space="preserve">that </w:t>
      </w:r>
      <w:r w:rsidR="00A81A7F">
        <w:rPr>
          <w:rFonts w:ascii="Cambria" w:hAnsi="Cambria"/>
          <w:lang w:eastAsia="x-none"/>
        </w:rPr>
        <w:t>OSF</w:t>
      </w:r>
      <w:r w:rsidR="00FF413F">
        <w:rPr>
          <w:rFonts w:ascii="Cambria" w:hAnsi="Cambria"/>
          <w:lang w:eastAsia="x-none"/>
        </w:rPr>
        <w:t xml:space="preserve"> </w:t>
      </w:r>
      <w:r w:rsidR="00D27BF3">
        <w:rPr>
          <w:rFonts w:ascii="Cambria" w:hAnsi="Cambria"/>
          <w:lang w:eastAsia="x-none"/>
        </w:rPr>
        <w:t>attach</w:t>
      </w:r>
      <w:r w:rsidR="00A81A7F">
        <w:rPr>
          <w:rFonts w:ascii="Cambria" w:hAnsi="Cambria"/>
          <w:lang w:eastAsia="x-none"/>
        </w:rPr>
        <w:t>es</w:t>
      </w:r>
      <w:r w:rsidR="00D27BF3">
        <w:rPr>
          <w:rFonts w:ascii="Cambria" w:hAnsi="Cambria"/>
          <w:lang w:eastAsia="x-none"/>
        </w:rPr>
        <w:t xml:space="preserve"> to</w:t>
      </w:r>
      <w:r w:rsidR="00FF413F">
        <w:rPr>
          <w:rFonts w:ascii="Cambria" w:hAnsi="Cambria"/>
          <w:lang w:eastAsia="x-none"/>
        </w:rPr>
        <w:t xml:space="preserve"> LEAD specifically, rather than </w:t>
      </w:r>
      <w:r w:rsidR="00D27BF3">
        <w:rPr>
          <w:rFonts w:ascii="Cambria" w:hAnsi="Cambria"/>
          <w:lang w:eastAsia="x-none"/>
        </w:rPr>
        <w:t xml:space="preserve">to </w:t>
      </w:r>
      <w:r w:rsidR="00FF413F">
        <w:rPr>
          <w:rFonts w:ascii="Cambria" w:hAnsi="Cambria"/>
          <w:lang w:eastAsia="x-none"/>
        </w:rPr>
        <w:t>attempts to establish community-level alternatives more broadly. Beyond assuring grantees and potential grantees that our commitment is to supporting a different paradigm</w:t>
      </w:r>
      <w:r w:rsidR="0050703E">
        <w:rPr>
          <w:rFonts w:ascii="Cambria" w:hAnsi="Cambria"/>
          <w:lang w:eastAsia="x-none"/>
        </w:rPr>
        <w:t>,</w:t>
      </w:r>
      <w:r w:rsidR="00FF413F">
        <w:rPr>
          <w:rFonts w:ascii="Cambria" w:hAnsi="Cambria"/>
          <w:lang w:eastAsia="x-none"/>
        </w:rPr>
        <w:t xml:space="preserve"> not a particular program, this is a risk that we need to manage</w:t>
      </w:r>
      <w:r w:rsidR="00D27BF3">
        <w:rPr>
          <w:rFonts w:ascii="Cambria" w:hAnsi="Cambria"/>
          <w:lang w:eastAsia="x-none"/>
        </w:rPr>
        <w:t xml:space="preserve">.  It seems </w:t>
      </w:r>
      <w:r w:rsidR="00FF413F">
        <w:rPr>
          <w:rFonts w:ascii="Cambria" w:hAnsi="Cambria"/>
          <w:lang w:eastAsia="x-none"/>
        </w:rPr>
        <w:t xml:space="preserve">unlikely </w:t>
      </w:r>
      <w:r w:rsidR="00D27BF3">
        <w:rPr>
          <w:rFonts w:ascii="Cambria" w:hAnsi="Cambria"/>
          <w:lang w:eastAsia="x-none"/>
        </w:rPr>
        <w:t xml:space="preserve">that we can </w:t>
      </w:r>
      <w:r w:rsidR="00FF413F">
        <w:rPr>
          <w:rFonts w:ascii="Cambria" w:hAnsi="Cambria"/>
          <w:lang w:eastAsia="x-none"/>
        </w:rPr>
        <w:t xml:space="preserve">eliminate </w:t>
      </w:r>
      <w:r w:rsidR="00D27BF3">
        <w:rPr>
          <w:rFonts w:ascii="Cambria" w:hAnsi="Cambria"/>
          <w:lang w:eastAsia="x-none"/>
        </w:rPr>
        <w:t xml:space="preserve">this dynamic </w:t>
      </w:r>
      <w:r w:rsidR="00FF413F">
        <w:rPr>
          <w:rFonts w:ascii="Cambria" w:hAnsi="Cambria"/>
          <w:lang w:eastAsia="x-none"/>
        </w:rPr>
        <w:t xml:space="preserve">entirely and still effectively pursue </w:t>
      </w:r>
      <w:r w:rsidR="00E96DA9">
        <w:rPr>
          <w:rFonts w:ascii="Cambria" w:hAnsi="Cambria"/>
          <w:lang w:eastAsia="x-none"/>
        </w:rPr>
        <w:t>our</w:t>
      </w:r>
      <w:r w:rsidR="00FF413F">
        <w:rPr>
          <w:rFonts w:ascii="Cambria" w:hAnsi="Cambria"/>
          <w:lang w:eastAsia="x-none"/>
        </w:rPr>
        <w:t xml:space="preserve"> objective</w:t>
      </w:r>
      <w:r w:rsidR="00E96DA9">
        <w:rPr>
          <w:rFonts w:ascii="Cambria" w:hAnsi="Cambria"/>
          <w:lang w:eastAsia="x-none"/>
        </w:rPr>
        <w:t>s</w:t>
      </w:r>
      <w:r w:rsidR="00FF413F">
        <w:rPr>
          <w:rFonts w:ascii="Cambria" w:hAnsi="Cambria"/>
          <w:lang w:eastAsia="x-none"/>
        </w:rPr>
        <w:t xml:space="preserve">. </w:t>
      </w:r>
    </w:p>
    <w:p w14:paraId="26358C4A" w14:textId="77777777" w:rsidR="001B20C9" w:rsidRDefault="001B20C9" w:rsidP="00125AE7">
      <w:pPr>
        <w:rPr>
          <w:rFonts w:ascii="Cambria" w:hAnsi="Cambria"/>
          <w:lang w:eastAsia="x-none"/>
        </w:rPr>
      </w:pPr>
    </w:p>
    <w:p w14:paraId="26B2C836" w14:textId="77777777" w:rsidR="00186BAE" w:rsidRDefault="00FF413F" w:rsidP="00125AE7">
      <w:pPr>
        <w:rPr>
          <w:rFonts w:ascii="Cambria" w:hAnsi="Cambria"/>
          <w:lang w:eastAsia="x-none"/>
        </w:rPr>
      </w:pPr>
      <w:r>
        <w:rPr>
          <w:rFonts w:ascii="Cambria" w:hAnsi="Cambria"/>
          <w:lang w:eastAsia="x-none"/>
        </w:rPr>
        <w:t xml:space="preserve">A </w:t>
      </w:r>
      <w:r w:rsidR="00D27BF3">
        <w:rPr>
          <w:rFonts w:ascii="Cambria" w:hAnsi="Cambria"/>
          <w:lang w:eastAsia="x-none"/>
        </w:rPr>
        <w:t xml:space="preserve">remaining </w:t>
      </w:r>
      <w:r w:rsidR="001E46D4">
        <w:rPr>
          <w:rFonts w:ascii="Cambria" w:hAnsi="Cambria"/>
          <w:lang w:eastAsia="x-none"/>
        </w:rPr>
        <w:t>challenge we</w:t>
      </w:r>
      <w:r w:rsidR="00E63220">
        <w:rPr>
          <w:rFonts w:ascii="Cambria" w:hAnsi="Cambria"/>
          <w:lang w:eastAsia="x-none"/>
        </w:rPr>
        <w:t xml:space="preserve"> face is </w:t>
      </w:r>
      <w:r>
        <w:rPr>
          <w:rFonts w:ascii="Cambria" w:hAnsi="Cambria"/>
          <w:lang w:eastAsia="x-none"/>
        </w:rPr>
        <w:t xml:space="preserve">the question of </w:t>
      </w:r>
      <w:r w:rsidR="00E63220">
        <w:rPr>
          <w:rFonts w:ascii="Cambria" w:hAnsi="Cambria"/>
          <w:lang w:eastAsia="x-none"/>
        </w:rPr>
        <w:t xml:space="preserve">adequately scaling our and </w:t>
      </w:r>
      <w:r>
        <w:rPr>
          <w:rFonts w:ascii="Cambria" w:hAnsi="Cambria"/>
          <w:lang w:eastAsia="x-none"/>
        </w:rPr>
        <w:t xml:space="preserve">funding </w:t>
      </w:r>
      <w:r w:rsidR="00492D69">
        <w:rPr>
          <w:rFonts w:ascii="Cambria" w:hAnsi="Cambria"/>
          <w:lang w:eastAsia="x-none"/>
        </w:rPr>
        <w:t xml:space="preserve">partners’ </w:t>
      </w:r>
      <w:r w:rsidR="00E63220">
        <w:rPr>
          <w:rFonts w:ascii="Cambria" w:hAnsi="Cambria"/>
          <w:lang w:eastAsia="x-none"/>
        </w:rPr>
        <w:t xml:space="preserve">support </w:t>
      </w:r>
      <w:r w:rsidR="00492D69">
        <w:rPr>
          <w:rFonts w:ascii="Cambria" w:hAnsi="Cambria"/>
          <w:lang w:eastAsia="x-none"/>
        </w:rPr>
        <w:t>to the level of apparent interest</w:t>
      </w:r>
      <w:r w:rsidR="001B20C9">
        <w:rPr>
          <w:rFonts w:ascii="Cambria" w:hAnsi="Cambria"/>
          <w:lang w:eastAsia="x-none"/>
        </w:rPr>
        <w:t xml:space="preserve"> and opportunity, which is a longer discussion with USP leadership.</w:t>
      </w:r>
      <w:r w:rsidR="008755A2">
        <w:rPr>
          <w:rFonts w:ascii="Cambria" w:hAnsi="Cambria"/>
          <w:lang w:eastAsia="x-none"/>
        </w:rPr>
        <w:t xml:space="preserve"> Ensuring sustainability through the commitment of public resources to replace private startup funding is possibly the greatest challenge.</w:t>
      </w:r>
      <w:r w:rsidR="00186BAE">
        <w:rPr>
          <w:rFonts w:ascii="Cambria" w:hAnsi="Cambria"/>
          <w:lang w:eastAsia="x-none"/>
        </w:rPr>
        <w:t xml:space="preserve">  </w:t>
      </w:r>
    </w:p>
    <w:p w14:paraId="6F53B44B" w14:textId="77777777" w:rsidR="006134B1" w:rsidRDefault="006134B1" w:rsidP="00125AE7">
      <w:pPr>
        <w:rPr>
          <w:rFonts w:ascii="Cambria" w:hAnsi="Cambria"/>
          <w:lang w:eastAsia="x-none"/>
        </w:rPr>
      </w:pPr>
    </w:p>
    <w:p w14:paraId="79389109" w14:textId="77777777" w:rsidR="002A3F3E" w:rsidRDefault="002A3F3E" w:rsidP="00125AE7">
      <w:pPr>
        <w:rPr>
          <w:rFonts w:ascii="Cambria" w:hAnsi="Cambria"/>
          <w:lang w:eastAsia="x-none"/>
        </w:rPr>
      </w:pPr>
    </w:p>
    <w:p w14:paraId="0A2106C6" w14:textId="5C61A4EE" w:rsidR="00BF5C3F" w:rsidRDefault="00655C48" w:rsidP="00125AE7">
      <w:pPr>
        <w:rPr>
          <w:rFonts w:ascii="Cambria" w:hAnsi="Cambria"/>
          <w:lang w:eastAsia="x-none"/>
        </w:rPr>
      </w:pPr>
      <w:r>
        <w:rPr>
          <w:rFonts w:ascii="Cambria" w:hAnsi="Cambria"/>
          <w:lang w:eastAsia="x-none"/>
        </w:rPr>
        <w:t xml:space="preserve">Finally, within our community-level alternatives work, we have </w:t>
      </w:r>
      <w:r w:rsidR="00A81A7F">
        <w:rPr>
          <w:rFonts w:ascii="Cambria" w:hAnsi="Cambria"/>
          <w:lang w:eastAsia="x-none"/>
        </w:rPr>
        <w:t xml:space="preserve">begun to explore </w:t>
      </w:r>
      <w:r w:rsidR="00012972">
        <w:rPr>
          <w:rFonts w:ascii="Cambria" w:hAnsi="Cambria"/>
          <w:lang w:eastAsia="x-none"/>
        </w:rPr>
        <w:t xml:space="preserve">opportunities for </w:t>
      </w:r>
      <w:r w:rsidR="00A81A7F">
        <w:rPr>
          <w:rFonts w:ascii="Cambria" w:hAnsi="Cambria"/>
          <w:lang w:eastAsia="x-none"/>
        </w:rPr>
        <w:t xml:space="preserve">other approaches beyond LEAD.  We </w:t>
      </w:r>
      <w:r>
        <w:rPr>
          <w:rFonts w:ascii="Cambria" w:hAnsi="Cambria"/>
          <w:lang w:eastAsia="x-none"/>
        </w:rPr>
        <w:t>have made grants</w:t>
      </w:r>
      <w:r w:rsidR="002F1625">
        <w:rPr>
          <w:rFonts w:ascii="Cambria" w:hAnsi="Cambria"/>
          <w:lang w:eastAsia="x-none"/>
        </w:rPr>
        <w:t xml:space="preserve"> to Treatment Alternatives for Safe Communities (TASC) and </w:t>
      </w:r>
      <w:r>
        <w:rPr>
          <w:rFonts w:ascii="Cambria" w:hAnsi="Cambria"/>
          <w:lang w:eastAsia="x-none"/>
        </w:rPr>
        <w:t xml:space="preserve">to </w:t>
      </w:r>
      <w:r w:rsidR="002F1625">
        <w:rPr>
          <w:rFonts w:ascii="Cambria" w:hAnsi="Cambria"/>
          <w:lang w:eastAsia="x-none"/>
        </w:rPr>
        <w:t xml:space="preserve">the Harm Reduction Therapy Center for its San Francisco Drug Users Union (SFDUU).  </w:t>
      </w:r>
      <w:r w:rsidR="001B20C9">
        <w:rPr>
          <w:rFonts w:ascii="Cambria" w:hAnsi="Cambria"/>
          <w:lang w:eastAsia="x-none"/>
        </w:rPr>
        <w:t>The TASC grant funded “</w:t>
      </w:r>
      <w:r w:rsidR="001B20C9" w:rsidRPr="001B20C9">
        <w:rPr>
          <w:rFonts w:ascii="Cambria" w:hAnsi="Cambria"/>
          <w:lang w:eastAsia="x-none"/>
        </w:rPr>
        <w:t>No Entry: A National Survey of Criminal Justice Diversion Programs and Initiatives</w:t>
      </w:r>
      <w:r w:rsidR="001B20C9">
        <w:rPr>
          <w:rFonts w:ascii="Cambria" w:hAnsi="Cambria"/>
          <w:lang w:eastAsia="x-none"/>
        </w:rPr>
        <w:t>” as a tool for the field to research the vari</w:t>
      </w:r>
      <w:r w:rsidR="00BB615E">
        <w:rPr>
          <w:rFonts w:ascii="Cambria" w:hAnsi="Cambria"/>
          <w:lang w:eastAsia="x-none"/>
        </w:rPr>
        <w:t>ous</w:t>
      </w:r>
      <w:r w:rsidR="001B20C9">
        <w:rPr>
          <w:rFonts w:ascii="Cambria" w:hAnsi="Cambria"/>
          <w:lang w:eastAsia="x-none"/>
        </w:rPr>
        <w:t xml:space="preserve"> </w:t>
      </w:r>
      <w:r w:rsidR="00BB615E">
        <w:rPr>
          <w:rFonts w:ascii="Cambria" w:hAnsi="Cambria"/>
          <w:lang w:eastAsia="x-none"/>
        </w:rPr>
        <w:t>ways</w:t>
      </w:r>
      <w:r w:rsidR="001B20C9">
        <w:rPr>
          <w:rFonts w:ascii="Cambria" w:hAnsi="Cambria"/>
          <w:lang w:eastAsia="x-none"/>
        </w:rPr>
        <w:t xml:space="preserve"> that communities across the country are attempting to reduce local levels of incarceration.  The SFDUU</w:t>
      </w:r>
      <w:r w:rsidR="00BB615E">
        <w:rPr>
          <w:rFonts w:ascii="Cambria" w:hAnsi="Cambria"/>
          <w:lang w:eastAsia="x-none"/>
        </w:rPr>
        <w:t xml:space="preserve"> grant</w:t>
      </w:r>
      <w:r w:rsidR="001B20C9">
        <w:rPr>
          <w:rFonts w:ascii="Cambria" w:hAnsi="Cambria"/>
          <w:lang w:eastAsia="x-none"/>
        </w:rPr>
        <w:t>, co-funded with IHRD</w:t>
      </w:r>
      <w:r w:rsidR="00BB615E">
        <w:rPr>
          <w:rFonts w:ascii="Cambria" w:hAnsi="Cambria"/>
          <w:lang w:eastAsia="x-none"/>
        </w:rPr>
        <w:t xml:space="preserve">, </w:t>
      </w:r>
      <w:r w:rsidR="001B20C9">
        <w:rPr>
          <w:rFonts w:ascii="Cambria" w:hAnsi="Cambria"/>
          <w:lang w:eastAsia="x-none"/>
        </w:rPr>
        <w:t xml:space="preserve">supports the organization and activism of drug users in San Francisco’s Tenderloin neighborhood.  </w:t>
      </w:r>
      <w:r w:rsidR="007375C0">
        <w:rPr>
          <w:rFonts w:ascii="Cambria" w:hAnsi="Cambria"/>
          <w:lang w:eastAsia="x-none"/>
        </w:rPr>
        <w:t xml:space="preserve">SFDUU works in close collaboration with DPA’s San Francisco office and other advocates in the Bay Area and is particularly focused </w:t>
      </w:r>
      <w:r w:rsidR="00BB615E">
        <w:rPr>
          <w:rFonts w:ascii="Cambria" w:hAnsi="Cambria"/>
          <w:lang w:eastAsia="x-none"/>
        </w:rPr>
        <w:t xml:space="preserve">on </w:t>
      </w:r>
      <w:r w:rsidR="007375C0">
        <w:rPr>
          <w:rFonts w:ascii="Cambria" w:hAnsi="Cambria"/>
          <w:lang w:eastAsia="x-none"/>
        </w:rPr>
        <w:t>options for establishing a safer injection site in San Francisco, which is another approach to establishing a community-level alternative to punitive drug enforcement in that it would create a safe haven from arrest as well as a portal to service and overdose prevention for active drug users.</w:t>
      </w:r>
      <w:r w:rsidR="00B909A0">
        <w:rPr>
          <w:rFonts w:ascii="Cambria" w:hAnsi="Cambria"/>
          <w:lang w:eastAsia="x-none"/>
        </w:rPr>
        <w:t xml:space="preserve">  This grant is unlikely to yield </w:t>
      </w:r>
      <w:r w:rsidR="00E55CB9">
        <w:rPr>
          <w:rFonts w:ascii="Cambria" w:hAnsi="Cambria"/>
          <w:lang w:eastAsia="x-none"/>
        </w:rPr>
        <w:t xml:space="preserve">all of </w:t>
      </w:r>
      <w:r w:rsidR="00B909A0">
        <w:rPr>
          <w:rFonts w:ascii="Cambria" w:hAnsi="Cambria"/>
          <w:lang w:eastAsia="x-none"/>
        </w:rPr>
        <w:t xml:space="preserve">the </w:t>
      </w:r>
      <w:r w:rsidR="00E55CB9">
        <w:rPr>
          <w:rFonts w:ascii="Cambria" w:hAnsi="Cambria"/>
          <w:lang w:eastAsia="x-none"/>
        </w:rPr>
        <w:t>outcomes specified</w:t>
      </w:r>
      <w:r w:rsidR="00B909A0">
        <w:rPr>
          <w:rFonts w:ascii="Cambria" w:hAnsi="Cambria"/>
          <w:lang w:eastAsia="x-none"/>
        </w:rPr>
        <w:t xml:space="preserve"> in the grant proposal, but it is a </w:t>
      </w:r>
      <w:r w:rsidR="009C2C9A">
        <w:rPr>
          <w:rFonts w:ascii="Cambria" w:hAnsi="Cambria"/>
          <w:lang w:eastAsia="x-none"/>
        </w:rPr>
        <w:t xml:space="preserve">modest </w:t>
      </w:r>
      <w:r w:rsidR="001F39EA">
        <w:rPr>
          <w:rFonts w:ascii="Cambria" w:hAnsi="Cambria"/>
          <w:lang w:eastAsia="x-none"/>
        </w:rPr>
        <w:t xml:space="preserve">investment </w:t>
      </w:r>
      <w:r w:rsidR="00B909A0">
        <w:rPr>
          <w:rFonts w:ascii="Cambria" w:hAnsi="Cambria"/>
          <w:lang w:eastAsia="x-none"/>
        </w:rPr>
        <w:t>and we and IHRD saw an important opportunity to elevate drug users’ direct involvement in seeking solutions to the policies that threaten their freedom and lives.</w:t>
      </w:r>
    </w:p>
    <w:p w14:paraId="300DA130" w14:textId="77777777" w:rsidR="00B909A0" w:rsidRDefault="00B909A0" w:rsidP="00125AE7">
      <w:pPr>
        <w:rPr>
          <w:rFonts w:ascii="Cambria" w:hAnsi="Cambria"/>
          <w:lang w:eastAsia="x-none"/>
        </w:rPr>
      </w:pPr>
    </w:p>
    <w:p w14:paraId="15ED7E50" w14:textId="77777777" w:rsidR="005D73FF" w:rsidRDefault="005D73FF" w:rsidP="00125AE7">
      <w:pPr>
        <w:rPr>
          <w:rFonts w:ascii="Cambria" w:hAnsi="Cambria"/>
          <w:lang w:eastAsia="x-none"/>
        </w:rPr>
      </w:pPr>
    </w:p>
    <w:p w14:paraId="53138EAA" w14:textId="77777777" w:rsidR="005D73FF" w:rsidRPr="00125AE7" w:rsidRDefault="005D73FF" w:rsidP="00125AE7">
      <w:pPr>
        <w:rPr>
          <w:rFonts w:ascii="Cambria" w:hAnsi="Cambria"/>
          <w:b/>
          <w:lang w:eastAsia="x-none"/>
        </w:rPr>
      </w:pPr>
      <w:r w:rsidRPr="00125AE7">
        <w:rPr>
          <w:rFonts w:ascii="Cambria" w:hAnsi="Cambria"/>
          <w:b/>
          <w:lang w:eastAsia="x-none"/>
        </w:rPr>
        <w:t>QUESTIONS FOR FURTHER CONSIDERATION:</w:t>
      </w:r>
    </w:p>
    <w:p w14:paraId="3054F42A" w14:textId="77777777" w:rsidR="005D73FF" w:rsidRDefault="005D73FF" w:rsidP="00125AE7">
      <w:pPr>
        <w:rPr>
          <w:rFonts w:ascii="Cambria" w:hAnsi="Cambria"/>
          <w:lang w:eastAsia="x-none"/>
        </w:rPr>
      </w:pPr>
    </w:p>
    <w:p w14:paraId="4627B205" w14:textId="70AFCA2D" w:rsidR="005D73FF" w:rsidRDefault="005D73FF" w:rsidP="00125AE7">
      <w:pPr>
        <w:numPr>
          <w:ilvl w:val="0"/>
          <w:numId w:val="39"/>
        </w:numPr>
        <w:rPr>
          <w:rFonts w:ascii="Cambria" w:hAnsi="Cambria"/>
        </w:rPr>
      </w:pPr>
      <w:r>
        <w:rPr>
          <w:rFonts w:ascii="Cambria" w:hAnsi="Cambria"/>
        </w:rPr>
        <w:t xml:space="preserve"> </w:t>
      </w:r>
      <w:r w:rsidR="00160E95">
        <w:rPr>
          <w:rFonts w:ascii="Cambria" w:hAnsi="Cambria"/>
        </w:rPr>
        <w:t xml:space="preserve">Are we </w:t>
      </w:r>
      <w:r w:rsidR="008C72C8">
        <w:rPr>
          <w:rFonts w:ascii="Cambria" w:hAnsi="Cambria"/>
        </w:rPr>
        <w:t xml:space="preserve">correctly </w:t>
      </w:r>
      <w:r w:rsidR="00160E95">
        <w:rPr>
          <w:rFonts w:ascii="Cambria" w:hAnsi="Cambria"/>
        </w:rPr>
        <w:t xml:space="preserve">identifying the key organizations </w:t>
      </w:r>
      <w:r w:rsidR="00F0393C">
        <w:rPr>
          <w:rFonts w:ascii="Cambria" w:hAnsi="Cambria"/>
        </w:rPr>
        <w:t xml:space="preserve">and constituencies </w:t>
      </w:r>
      <w:r w:rsidR="00160E95">
        <w:rPr>
          <w:rFonts w:ascii="Cambria" w:hAnsi="Cambria"/>
        </w:rPr>
        <w:t>in the field under Objective 1? If so, are we appropriately allocating resources</w:t>
      </w:r>
      <w:r w:rsidR="00BE7B29">
        <w:rPr>
          <w:rFonts w:ascii="Cambria" w:hAnsi="Cambria"/>
        </w:rPr>
        <w:t xml:space="preserve"> given CNDP’s grantmaking budget</w:t>
      </w:r>
      <w:r w:rsidR="00B61999">
        <w:rPr>
          <w:rFonts w:ascii="Cambria" w:hAnsi="Cambria"/>
        </w:rPr>
        <w:t> </w:t>
      </w:r>
      <w:r w:rsidR="008C72C8">
        <w:rPr>
          <w:rFonts w:ascii="Cambria" w:hAnsi="Cambria"/>
        </w:rPr>
        <w:t>– i.e</w:t>
      </w:r>
      <w:r w:rsidR="00B61999">
        <w:rPr>
          <w:rFonts w:ascii="Cambria" w:hAnsi="Cambria"/>
        </w:rPr>
        <w:t>.</w:t>
      </w:r>
      <w:r w:rsidR="008C72C8">
        <w:rPr>
          <w:rFonts w:ascii="Cambria" w:hAnsi="Cambria"/>
        </w:rPr>
        <w:t>, are we effectively helping to raise their voices alongside DPA</w:t>
      </w:r>
      <w:r w:rsidR="00160E95">
        <w:rPr>
          <w:rFonts w:ascii="Cambria" w:hAnsi="Cambria"/>
        </w:rPr>
        <w:t xml:space="preserve">?  If we have not identified the right </w:t>
      </w:r>
      <w:r w:rsidR="00F0393C">
        <w:rPr>
          <w:rFonts w:ascii="Cambria" w:hAnsi="Cambria"/>
        </w:rPr>
        <w:t xml:space="preserve">constituencies and/or </w:t>
      </w:r>
      <w:r w:rsidR="00160E95">
        <w:rPr>
          <w:rFonts w:ascii="Cambria" w:hAnsi="Cambria"/>
        </w:rPr>
        <w:t>organizations, what questions should we be asking</w:t>
      </w:r>
      <w:r w:rsidR="00BE7B29">
        <w:rPr>
          <w:rFonts w:ascii="Cambria" w:hAnsi="Cambria"/>
        </w:rPr>
        <w:t xml:space="preserve"> ourselves to arrive at the right mix?</w:t>
      </w:r>
    </w:p>
    <w:p w14:paraId="693A3818" w14:textId="77777777" w:rsidR="00E55CB9" w:rsidRDefault="00E55CB9" w:rsidP="009C2C9A">
      <w:pPr>
        <w:ind w:left="405"/>
        <w:rPr>
          <w:rFonts w:ascii="Cambria" w:hAnsi="Cambria"/>
        </w:rPr>
      </w:pPr>
    </w:p>
    <w:p w14:paraId="7BE53D95" w14:textId="64B3C679" w:rsidR="005D73FF" w:rsidRDefault="005D73FF" w:rsidP="00125AE7">
      <w:pPr>
        <w:numPr>
          <w:ilvl w:val="0"/>
          <w:numId w:val="39"/>
        </w:numPr>
        <w:rPr>
          <w:rFonts w:ascii="Cambria" w:hAnsi="Cambria"/>
        </w:rPr>
      </w:pPr>
      <w:r>
        <w:rPr>
          <w:rFonts w:ascii="Cambria" w:hAnsi="Cambria"/>
        </w:rPr>
        <w:t xml:space="preserve"> </w:t>
      </w:r>
      <w:r w:rsidR="00BE7B29">
        <w:rPr>
          <w:rFonts w:ascii="Cambria" w:hAnsi="Cambria"/>
        </w:rPr>
        <w:t xml:space="preserve">Having identified the importance of </w:t>
      </w:r>
      <w:r w:rsidR="008C72C8">
        <w:rPr>
          <w:rFonts w:ascii="Cambria" w:hAnsi="Cambria"/>
        </w:rPr>
        <w:t xml:space="preserve">enabling </w:t>
      </w:r>
      <w:r w:rsidR="00BE7B29">
        <w:rPr>
          <w:rFonts w:ascii="Cambria" w:hAnsi="Cambria"/>
        </w:rPr>
        <w:t xml:space="preserve">new, sometimes oppositional, partners </w:t>
      </w:r>
      <w:r w:rsidR="008C72C8">
        <w:rPr>
          <w:rFonts w:ascii="Cambria" w:hAnsi="Cambria"/>
        </w:rPr>
        <w:t xml:space="preserve">to participate </w:t>
      </w:r>
      <w:r w:rsidR="00BE7B29">
        <w:rPr>
          <w:rFonts w:ascii="Cambria" w:hAnsi="Cambria"/>
        </w:rPr>
        <w:t>in this work</w:t>
      </w:r>
      <w:r w:rsidR="008C72C8">
        <w:rPr>
          <w:rFonts w:ascii="Cambria" w:hAnsi="Cambria"/>
        </w:rPr>
        <w:t xml:space="preserve">, who else should we include that we are </w:t>
      </w:r>
      <w:r w:rsidR="00BE7B29">
        <w:rPr>
          <w:rFonts w:ascii="Cambria" w:hAnsi="Cambria"/>
        </w:rPr>
        <w:t xml:space="preserve">not </w:t>
      </w:r>
      <w:r w:rsidR="008C72C8">
        <w:rPr>
          <w:rFonts w:ascii="Cambria" w:hAnsi="Cambria"/>
        </w:rPr>
        <w:t>(</w:t>
      </w:r>
      <w:r w:rsidR="00BE7B29">
        <w:rPr>
          <w:rFonts w:ascii="Cambria" w:hAnsi="Cambria"/>
        </w:rPr>
        <w:t>e.g., organized labor</w:t>
      </w:r>
      <w:r w:rsidR="00645455">
        <w:rPr>
          <w:rFonts w:ascii="Cambria" w:hAnsi="Cambria"/>
        </w:rPr>
        <w:t xml:space="preserve">, </w:t>
      </w:r>
      <w:r w:rsidR="008C72C8">
        <w:rPr>
          <w:rFonts w:ascii="Cambria" w:hAnsi="Cambria"/>
        </w:rPr>
        <w:t>p</w:t>
      </w:r>
      <w:r w:rsidR="00BE7B29">
        <w:rPr>
          <w:rFonts w:ascii="Cambria" w:hAnsi="Cambria"/>
        </w:rPr>
        <w:t>arent organizations</w:t>
      </w:r>
      <w:r w:rsidR="00645455">
        <w:rPr>
          <w:rFonts w:ascii="Cambria" w:hAnsi="Cambria"/>
        </w:rPr>
        <w:t>, etc.</w:t>
      </w:r>
      <w:r w:rsidR="00BE7B29">
        <w:rPr>
          <w:rFonts w:ascii="Cambria" w:hAnsi="Cambria"/>
        </w:rPr>
        <w:t>)?</w:t>
      </w:r>
    </w:p>
    <w:p w14:paraId="7986E83A" w14:textId="77777777" w:rsidR="00E55CB9" w:rsidRDefault="00E55CB9" w:rsidP="00E55CB9">
      <w:pPr>
        <w:ind w:left="405"/>
        <w:rPr>
          <w:rFonts w:ascii="Cambria" w:hAnsi="Cambria"/>
        </w:rPr>
      </w:pPr>
    </w:p>
    <w:p w14:paraId="2478802E" w14:textId="73D20306" w:rsidR="00D02265" w:rsidRDefault="005D73FF" w:rsidP="00125AE7">
      <w:pPr>
        <w:numPr>
          <w:ilvl w:val="0"/>
          <w:numId w:val="39"/>
        </w:numPr>
        <w:rPr>
          <w:rFonts w:ascii="Cambria" w:hAnsi="Cambria"/>
        </w:rPr>
      </w:pPr>
      <w:r>
        <w:rPr>
          <w:rFonts w:ascii="Cambria" w:hAnsi="Cambria"/>
        </w:rPr>
        <w:t xml:space="preserve"> </w:t>
      </w:r>
      <w:r w:rsidR="00D26DC0">
        <w:rPr>
          <w:rFonts w:ascii="Cambria" w:hAnsi="Cambria"/>
        </w:rPr>
        <w:t xml:space="preserve">Is </w:t>
      </w:r>
      <w:r w:rsidR="00BE7B29">
        <w:rPr>
          <w:rFonts w:ascii="Cambria" w:hAnsi="Cambria"/>
        </w:rPr>
        <w:t xml:space="preserve">CNDP’s </w:t>
      </w:r>
      <w:r w:rsidR="00D26DC0">
        <w:rPr>
          <w:rFonts w:ascii="Cambria" w:hAnsi="Cambria"/>
        </w:rPr>
        <w:t>work</w:t>
      </w:r>
      <w:r w:rsidR="00BE7B29">
        <w:rPr>
          <w:rFonts w:ascii="Cambria" w:hAnsi="Cambria"/>
        </w:rPr>
        <w:t xml:space="preserve"> strengthened by </w:t>
      </w:r>
      <w:r w:rsidR="00D26DC0">
        <w:rPr>
          <w:rFonts w:ascii="Cambria" w:hAnsi="Cambria"/>
        </w:rPr>
        <w:t>the</w:t>
      </w:r>
      <w:r w:rsidR="00BE7B29">
        <w:rPr>
          <w:rFonts w:ascii="Cambria" w:hAnsi="Cambria"/>
        </w:rPr>
        <w:t xml:space="preserve"> degree of </w:t>
      </w:r>
      <w:r w:rsidR="00D26DC0">
        <w:rPr>
          <w:rFonts w:ascii="Cambria" w:hAnsi="Cambria"/>
        </w:rPr>
        <w:t>our direct</w:t>
      </w:r>
      <w:r w:rsidR="00BE7B29">
        <w:rPr>
          <w:rFonts w:ascii="Cambria" w:hAnsi="Cambria"/>
        </w:rPr>
        <w:t xml:space="preserve"> engagement with the field? If so, why?  If not, what </w:t>
      </w:r>
      <w:r w:rsidR="00F92076">
        <w:rPr>
          <w:rFonts w:ascii="Cambria" w:hAnsi="Cambria"/>
        </w:rPr>
        <w:t xml:space="preserve">could </w:t>
      </w:r>
      <w:r w:rsidR="00BE7B29">
        <w:rPr>
          <w:rFonts w:ascii="Cambria" w:hAnsi="Cambria"/>
        </w:rPr>
        <w:t xml:space="preserve">we do differently, given the range of possible </w:t>
      </w:r>
      <w:r w:rsidR="00F92076">
        <w:rPr>
          <w:rFonts w:ascii="Cambria" w:hAnsi="Cambria"/>
        </w:rPr>
        <w:t>approaches</w:t>
      </w:r>
      <w:r w:rsidR="00BE7B29">
        <w:rPr>
          <w:rFonts w:ascii="Cambria" w:hAnsi="Cambria"/>
        </w:rPr>
        <w:t xml:space="preserve"> (from </w:t>
      </w:r>
      <w:r w:rsidR="002A0F76">
        <w:rPr>
          <w:rFonts w:ascii="Cambria" w:hAnsi="Cambria"/>
        </w:rPr>
        <w:t xml:space="preserve">solely </w:t>
      </w:r>
      <w:r w:rsidR="008C72C8">
        <w:rPr>
          <w:rFonts w:ascii="Cambria" w:hAnsi="Cambria"/>
        </w:rPr>
        <w:t>hands-off</w:t>
      </w:r>
      <w:r w:rsidR="00BE7B29">
        <w:rPr>
          <w:rFonts w:ascii="Cambria" w:hAnsi="Cambria"/>
        </w:rPr>
        <w:t xml:space="preserve"> grantmaking to </w:t>
      </w:r>
      <w:r w:rsidR="002A0F76">
        <w:rPr>
          <w:rFonts w:ascii="Cambria" w:hAnsi="Cambria"/>
        </w:rPr>
        <w:t xml:space="preserve">solely </w:t>
      </w:r>
      <w:r w:rsidR="00BE7B29">
        <w:rPr>
          <w:rFonts w:ascii="Cambria" w:hAnsi="Cambria"/>
        </w:rPr>
        <w:t xml:space="preserve">direct advocacy </w:t>
      </w:r>
      <w:r w:rsidR="002A0F76">
        <w:rPr>
          <w:rFonts w:ascii="Cambria" w:hAnsi="Cambria"/>
        </w:rPr>
        <w:t xml:space="preserve">in </w:t>
      </w:r>
      <w:r w:rsidR="00BE7B29">
        <w:rPr>
          <w:rFonts w:ascii="Cambria" w:hAnsi="Cambria"/>
        </w:rPr>
        <w:t>OSF’s name)</w:t>
      </w:r>
      <w:r w:rsidR="00D02265">
        <w:rPr>
          <w:rFonts w:ascii="Cambria" w:hAnsi="Cambria"/>
        </w:rPr>
        <w:t>?</w:t>
      </w:r>
    </w:p>
    <w:p w14:paraId="3DDA32B6" w14:textId="77777777" w:rsidR="00D02265" w:rsidRPr="00125AE7" w:rsidRDefault="00D02265" w:rsidP="00125AE7">
      <w:pPr>
        <w:ind w:left="405"/>
        <w:rPr>
          <w:rFonts w:ascii="Cambria" w:hAnsi="Cambria"/>
        </w:rPr>
      </w:pPr>
    </w:p>
    <w:sectPr w:rsidR="00D02265" w:rsidRPr="00125AE7" w:rsidSect="00125AE7">
      <w:footerReference w:type="default" r:id="rId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8BC7CE" w14:textId="77777777" w:rsidR="00B01377" w:rsidRDefault="00B01377" w:rsidP="00C3082B">
      <w:r>
        <w:separator/>
      </w:r>
    </w:p>
  </w:endnote>
  <w:endnote w:type="continuationSeparator" w:id="0">
    <w:p w14:paraId="738C784A" w14:textId="77777777" w:rsidR="00B01377" w:rsidRDefault="00B01377" w:rsidP="00C3082B">
      <w:r>
        <w:continuationSeparator/>
      </w:r>
    </w:p>
  </w:endnote>
  <w:endnote w:type="continuationNotice" w:id="1">
    <w:p w14:paraId="7A7343E0" w14:textId="77777777" w:rsidR="00B01377" w:rsidRDefault="00B013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84D53" w14:textId="77777777" w:rsidR="00663A46" w:rsidRDefault="00663A46">
    <w:pPr>
      <w:pStyle w:val="Footer"/>
      <w:jc w:val="center"/>
    </w:pPr>
    <w:r>
      <w:fldChar w:fldCharType="begin"/>
    </w:r>
    <w:r>
      <w:instrText xml:space="preserve"> PAGE   \* MERGEFORMAT </w:instrText>
    </w:r>
    <w:r>
      <w:fldChar w:fldCharType="separate"/>
    </w:r>
    <w:r w:rsidR="00F23FEE">
      <w:rPr>
        <w:noProof/>
      </w:rPr>
      <w:t>11</w:t>
    </w:r>
    <w:r>
      <w:rPr>
        <w:noProof/>
      </w:rPr>
      <w:fldChar w:fldCharType="end"/>
    </w:r>
  </w:p>
  <w:p w14:paraId="631B67DB" w14:textId="77777777" w:rsidR="00663A46" w:rsidRDefault="00663A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5B02EE" w14:textId="77777777" w:rsidR="00B01377" w:rsidRDefault="00B01377" w:rsidP="00C3082B">
      <w:r>
        <w:separator/>
      </w:r>
    </w:p>
  </w:footnote>
  <w:footnote w:type="continuationSeparator" w:id="0">
    <w:p w14:paraId="4D10612F" w14:textId="77777777" w:rsidR="00B01377" w:rsidRDefault="00B01377" w:rsidP="00C3082B">
      <w:r>
        <w:continuationSeparator/>
      </w:r>
    </w:p>
  </w:footnote>
  <w:footnote w:type="continuationNotice" w:id="1">
    <w:p w14:paraId="5DE03DFF" w14:textId="77777777" w:rsidR="00B01377" w:rsidRDefault="00B01377"/>
  </w:footnote>
  <w:footnote w:id="2">
    <w:p w14:paraId="20DDEC68" w14:textId="3CE1B807" w:rsidR="00B461F9" w:rsidRDefault="00B461F9">
      <w:pPr>
        <w:pStyle w:val="FootnoteText"/>
      </w:pPr>
      <w:r>
        <w:rPr>
          <w:rStyle w:val="FootnoteReference"/>
        </w:rPr>
        <w:footnoteRef/>
      </w:r>
      <w:r>
        <w:t xml:space="preserve"> CNDP was staffed by late November, 2010 and fully operational by January, 2011.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6A3D"/>
    <w:multiLevelType w:val="hybridMultilevel"/>
    <w:tmpl w:val="F9863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8632B"/>
    <w:multiLevelType w:val="hybridMultilevel"/>
    <w:tmpl w:val="5DD077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4491CEA"/>
    <w:multiLevelType w:val="hybridMultilevel"/>
    <w:tmpl w:val="CBE237CE"/>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nsid w:val="066D43F8"/>
    <w:multiLevelType w:val="hybridMultilevel"/>
    <w:tmpl w:val="9C1A1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8F7331"/>
    <w:multiLevelType w:val="hybridMultilevel"/>
    <w:tmpl w:val="DF52086A"/>
    <w:lvl w:ilvl="0" w:tplc="29CE3B94">
      <w:start w:val="1"/>
      <w:numFmt w:val="bullet"/>
      <w:lvlText w:val=""/>
      <w:lvlJc w:val="left"/>
      <w:pPr>
        <w:tabs>
          <w:tab w:val="num" w:pos="-1224"/>
        </w:tabs>
        <w:ind w:left="360" w:hanging="360"/>
      </w:pPr>
      <w:rPr>
        <w:rFonts w:ascii="Wingdings" w:hAnsi="Wingdings"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5">
    <w:nsid w:val="0FB425C3"/>
    <w:multiLevelType w:val="hybridMultilevel"/>
    <w:tmpl w:val="B686C35A"/>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6">
    <w:nsid w:val="233739DD"/>
    <w:multiLevelType w:val="hybridMultilevel"/>
    <w:tmpl w:val="13ECB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8E389C"/>
    <w:multiLevelType w:val="hybridMultilevel"/>
    <w:tmpl w:val="014E5A6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2AC45AB3"/>
    <w:multiLevelType w:val="hybridMultilevel"/>
    <w:tmpl w:val="88021C3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5B0425"/>
    <w:multiLevelType w:val="hybridMultilevel"/>
    <w:tmpl w:val="7068BBBA"/>
    <w:lvl w:ilvl="0" w:tplc="58FE9BA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2B797987"/>
    <w:multiLevelType w:val="hybridMultilevel"/>
    <w:tmpl w:val="47EEF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80308F"/>
    <w:multiLevelType w:val="hybridMultilevel"/>
    <w:tmpl w:val="3C526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801031"/>
    <w:multiLevelType w:val="hybridMultilevel"/>
    <w:tmpl w:val="CC2406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615B4D"/>
    <w:multiLevelType w:val="hybridMultilevel"/>
    <w:tmpl w:val="C2DE79F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33E21118"/>
    <w:multiLevelType w:val="hybridMultilevel"/>
    <w:tmpl w:val="EBF22BF4"/>
    <w:lvl w:ilvl="0" w:tplc="AAA4CCF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5AE19A3"/>
    <w:multiLevelType w:val="hybridMultilevel"/>
    <w:tmpl w:val="4EFEF298"/>
    <w:lvl w:ilvl="0" w:tplc="8DFEC758">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nsid w:val="3F734DFE"/>
    <w:multiLevelType w:val="hybridMultilevel"/>
    <w:tmpl w:val="3048A940"/>
    <w:lvl w:ilvl="0" w:tplc="B812188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nsid w:val="3FCF260E"/>
    <w:multiLevelType w:val="hybridMultilevel"/>
    <w:tmpl w:val="019E840C"/>
    <w:lvl w:ilvl="0" w:tplc="41A4A718">
      <w:start w:val="1"/>
      <w:numFmt w:val="decimal"/>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0542AEF"/>
    <w:multiLevelType w:val="hybridMultilevel"/>
    <w:tmpl w:val="9370971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40A96513"/>
    <w:multiLevelType w:val="hybridMultilevel"/>
    <w:tmpl w:val="37981B64"/>
    <w:lvl w:ilvl="0" w:tplc="04090001">
      <w:start w:val="201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972767"/>
    <w:multiLevelType w:val="hybridMultilevel"/>
    <w:tmpl w:val="C06A1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D23A16"/>
    <w:multiLevelType w:val="hybridMultilevel"/>
    <w:tmpl w:val="2EB4093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E509C6"/>
    <w:multiLevelType w:val="hybridMultilevel"/>
    <w:tmpl w:val="6910F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170B31"/>
    <w:multiLevelType w:val="hybridMultilevel"/>
    <w:tmpl w:val="05B416CC"/>
    <w:lvl w:ilvl="0" w:tplc="8DFEC758">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nsid w:val="49DC44D8"/>
    <w:multiLevelType w:val="hybridMultilevel"/>
    <w:tmpl w:val="D862A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206AB5"/>
    <w:multiLevelType w:val="hybridMultilevel"/>
    <w:tmpl w:val="DC264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B454F85"/>
    <w:multiLevelType w:val="hybridMultilevel"/>
    <w:tmpl w:val="F3BE8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FA2248"/>
    <w:multiLevelType w:val="hybridMultilevel"/>
    <w:tmpl w:val="A33A7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0EF2A12"/>
    <w:multiLevelType w:val="hybridMultilevel"/>
    <w:tmpl w:val="6154603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1BA24FC"/>
    <w:multiLevelType w:val="hybridMultilevel"/>
    <w:tmpl w:val="CC06A8CC"/>
    <w:lvl w:ilvl="0" w:tplc="83747624">
      <w:start w:val="2"/>
      <w:numFmt w:val="bullet"/>
      <w:lvlText w:val="•"/>
      <w:lvlJc w:val="left"/>
      <w:pPr>
        <w:ind w:left="1800" w:hanging="360"/>
      </w:pPr>
      <w:rPr>
        <w:rFonts w:ascii="Tw Cen MT" w:eastAsia="Times New Roman" w:hAnsi="Tw Cen MT"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585D3263"/>
    <w:multiLevelType w:val="hybridMultilevel"/>
    <w:tmpl w:val="D1CC0AD4"/>
    <w:lvl w:ilvl="0" w:tplc="1780DC8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64607F23"/>
    <w:multiLevelType w:val="hybridMultilevel"/>
    <w:tmpl w:val="8F2CF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79556A"/>
    <w:multiLevelType w:val="hybridMultilevel"/>
    <w:tmpl w:val="89CE1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91D488A"/>
    <w:multiLevelType w:val="hybridMultilevel"/>
    <w:tmpl w:val="2C483998"/>
    <w:lvl w:ilvl="0" w:tplc="AAA4CCF8">
      <w:start w:val="1"/>
      <w:numFmt w:val="decimal"/>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A074B04"/>
    <w:multiLevelType w:val="hybridMultilevel"/>
    <w:tmpl w:val="41B056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BB3E15"/>
    <w:multiLevelType w:val="hybridMultilevel"/>
    <w:tmpl w:val="0178A0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nsid w:val="73462641"/>
    <w:multiLevelType w:val="hybridMultilevel"/>
    <w:tmpl w:val="96B63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64455AC"/>
    <w:multiLevelType w:val="hybridMultilevel"/>
    <w:tmpl w:val="A002D854"/>
    <w:lvl w:ilvl="0" w:tplc="E06ABE84">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nsid w:val="788272E7"/>
    <w:multiLevelType w:val="hybridMultilevel"/>
    <w:tmpl w:val="9DD20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23"/>
  </w:num>
  <w:num w:numId="4">
    <w:abstractNumId w:val="30"/>
  </w:num>
  <w:num w:numId="5">
    <w:abstractNumId w:val="15"/>
  </w:num>
  <w:num w:numId="6">
    <w:abstractNumId w:val="29"/>
  </w:num>
  <w:num w:numId="7">
    <w:abstractNumId w:val="37"/>
  </w:num>
  <w:num w:numId="8">
    <w:abstractNumId w:val="13"/>
  </w:num>
  <w:num w:numId="9">
    <w:abstractNumId w:val="18"/>
  </w:num>
  <w:num w:numId="10">
    <w:abstractNumId w:val="7"/>
  </w:num>
  <w:num w:numId="11">
    <w:abstractNumId w:val="35"/>
  </w:num>
  <w:num w:numId="12">
    <w:abstractNumId w:val="25"/>
  </w:num>
  <w:num w:numId="13">
    <w:abstractNumId w:val="27"/>
  </w:num>
  <w:num w:numId="14">
    <w:abstractNumId w:val="3"/>
  </w:num>
  <w:num w:numId="15">
    <w:abstractNumId w:val="5"/>
  </w:num>
  <w:num w:numId="16">
    <w:abstractNumId w:val="36"/>
  </w:num>
  <w:num w:numId="17">
    <w:abstractNumId w:val="38"/>
  </w:num>
  <w:num w:numId="18">
    <w:abstractNumId w:val="31"/>
  </w:num>
  <w:num w:numId="19">
    <w:abstractNumId w:val="0"/>
  </w:num>
  <w:num w:numId="20">
    <w:abstractNumId w:val="14"/>
  </w:num>
  <w:num w:numId="21">
    <w:abstractNumId w:val="17"/>
  </w:num>
  <w:num w:numId="22">
    <w:abstractNumId w:val="33"/>
  </w:num>
  <w:num w:numId="23">
    <w:abstractNumId w:val="6"/>
  </w:num>
  <w:num w:numId="24">
    <w:abstractNumId w:val="32"/>
  </w:num>
  <w:num w:numId="25">
    <w:abstractNumId w:val="24"/>
  </w:num>
  <w:num w:numId="26">
    <w:abstractNumId w:val="2"/>
  </w:num>
  <w:num w:numId="27">
    <w:abstractNumId w:val="10"/>
  </w:num>
  <w:num w:numId="28">
    <w:abstractNumId w:val="22"/>
  </w:num>
  <w:num w:numId="29">
    <w:abstractNumId w:val="11"/>
  </w:num>
  <w:num w:numId="30">
    <w:abstractNumId w:val="26"/>
  </w:num>
  <w:num w:numId="31">
    <w:abstractNumId w:val="34"/>
  </w:num>
  <w:num w:numId="32">
    <w:abstractNumId w:val="12"/>
  </w:num>
  <w:num w:numId="33">
    <w:abstractNumId w:val="1"/>
  </w:num>
  <w:num w:numId="34">
    <w:abstractNumId w:val="21"/>
  </w:num>
  <w:num w:numId="35">
    <w:abstractNumId w:val="28"/>
  </w:num>
  <w:num w:numId="36">
    <w:abstractNumId w:val="19"/>
  </w:num>
  <w:num w:numId="37">
    <w:abstractNumId w:val="20"/>
  </w:num>
  <w:num w:numId="38">
    <w:abstractNumId w:val="8"/>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896E86"/>
    <w:rsid w:val="00001851"/>
    <w:rsid w:val="000058A2"/>
    <w:rsid w:val="000060C2"/>
    <w:rsid w:val="000071BB"/>
    <w:rsid w:val="00010074"/>
    <w:rsid w:val="000102A1"/>
    <w:rsid w:val="000113EB"/>
    <w:rsid w:val="00011664"/>
    <w:rsid w:val="00012972"/>
    <w:rsid w:val="0001415D"/>
    <w:rsid w:val="000157D6"/>
    <w:rsid w:val="00015A9F"/>
    <w:rsid w:val="00015E98"/>
    <w:rsid w:val="00015F91"/>
    <w:rsid w:val="00016860"/>
    <w:rsid w:val="0002050F"/>
    <w:rsid w:val="000242C6"/>
    <w:rsid w:val="000255F1"/>
    <w:rsid w:val="00026A5D"/>
    <w:rsid w:val="00026A5E"/>
    <w:rsid w:val="00026B2F"/>
    <w:rsid w:val="00030D3B"/>
    <w:rsid w:val="000324C1"/>
    <w:rsid w:val="00033B07"/>
    <w:rsid w:val="00033BB7"/>
    <w:rsid w:val="0003457F"/>
    <w:rsid w:val="00037538"/>
    <w:rsid w:val="00037A52"/>
    <w:rsid w:val="00040E4F"/>
    <w:rsid w:val="00042A6A"/>
    <w:rsid w:val="00044BD8"/>
    <w:rsid w:val="0004728A"/>
    <w:rsid w:val="000513B1"/>
    <w:rsid w:val="00054958"/>
    <w:rsid w:val="000551D9"/>
    <w:rsid w:val="0005650E"/>
    <w:rsid w:val="000572EF"/>
    <w:rsid w:val="00060FCB"/>
    <w:rsid w:val="000618EF"/>
    <w:rsid w:val="000634B0"/>
    <w:rsid w:val="00063621"/>
    <w:rsid w:val="000660F3"/>
    <w:rsid w:val="000661EB"/>
    <w:rsid w:val="000668CA"/>
    <w:rsid w:val="0006758B"/>
    <w:rsid w:val="00070A2D"/>
    <w:rsid w:val="0007253B"/>
    <w:rsid w:val="00072FD4"/>
    <w:rsid w:val="00073A3D"/>
    <w:rsid w:val="0007407C"/>
    <w:rsid w:val="00074EEE"/>
    <w:rsid w:val="000844D7"/>
    <w:rsid w:val="00085E63"/>
    <w:rsid w:val="00086C74"/>
    <w:rsid w:val="0009136A"/>
    <w:rsid w:val="00091774"/>
    <w:rsid w:val="00091BAC"/>
    <w:rsid w:val="00092769"/>
    <w:rsid w:val="00093A4F"/>
    <w:rsid w:val="00094E2D"/>
    <w:rsid w:val="00095C86"/>
    <w:rsid w:val="000968F3"/>
    <w:rsid w:val="00096AD7"/>
    <w:rsid w:val="000A0FDE"/>
    <w:rsid w:val="000A11F9"/>
    <w:rsid w:val="000A13EB"/>
    <w:rsid w:val="000A2C4F"/>
    <w:rsid w:val="000A3123"/>
    <w:rsid w:val="000A50FD"/>
    <w:rsid w:val="000B0173"/>
    <w:rsid w:val="000B052E"/>
    <w:rsid w:val="000B07B0"/>
    <w:rsid w:val="000B0CE0"/>
    <w:rsid w:val="000B18B9"/>
    <w:rsid w:val="000B3A62"/>
    <w:rsid w:val="000B5C5D"/>
    <w:rsid w:val="000B6A1C"/>
    <w:rsid w:val="000B7AD0"/>
    <w:rsid w:val="000C10AC"/>
    <w:rsid w:val="000C56EB"/>
    <w:rsid w:val="000C6119"/>
    <w:rsid w:val="000C7D1E"/>
    <w:rsid w:val="000D0A0A"/>
    <w:rsid w:val="000D20D0"/>
    <w:rsid w:val="000D3554"/>
    <w:rsid w:val="000D3BEA"/>
    <w:rsid w:val="000D4807"/>
    <w:rsid w:val="000D5918"/>
    <w:rsid w:val="000D605D"/>
    <w:rsid w:val="000D60EA"/>
    <w:rsid w:val="000D78B8"/>
    <w:rsid w:val="000E51B9"/>
    <w:rsid w:val="000E75FC"/>
    <w:rsid w:val="000E7727"/>
    <w:rsid w:val="000F19F6"/>
    <w:rsid w:val="000F2E17"/>
    <w:rsid w:val="000F79FF"/>
    <w:rsid w:val="000F7A13"/>
    <w:rsid w:val="0010034B"/>
    <w:rsid w:val="00104781"/>
    <w:rsid w:val="00104BCD"/>
    <w:rsid w:val="001105B9"/>
    <w:rsid w:val="00110712"/>
    <w:rsid w:val="00113062"/>
    <w:rsid w:val="00113ADE"/>
    <w:rsid w:val="00113C03"/>
    <w:rsid w:val="00114AE0"/>
    <w:rsid w:val="00115073"/>
    <w:rsid w:val="0012049A"/>
    <w:rsid w:val="00120630"/>
    <w:rsid w:val="0012153C"/>
    <w:rsid w:val="00122AB9"/>
    <w:rsid w:val="00122B6F"/>
    <w:rsid w:val="00125898"/>
    <w:rsid w:val="00125AE7"/>
    <w:rsid w:val="00127FCA"/>
    <w:rsid w:val="001328CB"/>
    <w:rsid w:val="0013664D"/>
    <w:rsid w:val="00137259"/>
    <w:rsid w:val="001424BD"/>
    <w:rsid w:val="0014382F"/>
    <w:rsid w:val="00151980"/>
    <w:rsid w:val="00152A24"/>
    <w:rsid w:val="00152D91"/>
    <w:rsid w:val="00154333"/>
    <w:rsid w:val="001605C4"/>
    <w:rsid w:val="00160E95"/>
    <w:rsid w:val="00162913"/>
    <w:rsid w:val="00163444"/>
    <w:rsid w:val="001651C0"/>
    <w:rsid w:val="00166CA5"/>
    <w:rsid w:val="00167887"/>
    <w:rsid w:val="00167FF9"/>
    <w:rsid w:val="0017042E"/>
    <w:rsid w:val="0017175B"/>
    <w:rsid w:val="0017204F"/>
    <w:rsid w:val="001724B1"/>
    <w:rsid w:val="0017362F"/>
    <w:rsid w:val="001765DA"/>
    <w:rsid w:val="001768BE"/>
    <w:rsid w:val="00177175"/>
    <w:rsid w:val="00182A7E"/>
    <w:rsid w:val="00185147"/>
    <w:rsid w:val="00186BAE"/>
    <w:rsid w:val="00187F30"/>
    <w:rsid w:val="001933CE"/>
    <w:rsid w:val="001979BC"/>
    <w:rsid w:val="00197CFE"/>
    <w:rsid w:val="001A0BB9"/>
    <w:rsid w:val="001A2AD8"/>
    <w:rsid w:val="001A2AEB"/>
    <w:rsid w:val="001A46F4"/>
    <w:rsid w:val="001A4763"/>
    <w:rsid w:val="001A5614"/>
    <w:rsid w:val="001A7AEE"/>
    <w:rsid w:val="001A7B19"/>
    <w:rsid w:val="001B0EFC"/>
    <w:rsid w:val="001B1198"/>
    <w:rsid w:val="001B14AD"/>
    <w:rsid w:val="001B1D9A"/>
    <w:rsid w:val="001B20AA"/>
    <w:rsid w:val="001B20C9"/>
    <w:rsid w:val="001B2265"/>
    <w:rsid w:val="001B2435"/>
    <w:rsid w:val="001B256B"/>
    <w:rsid w:val="001B4599"/>
    <w:rsid w:val="001B7469"/>
    <w:rsid w:val="001B766B"/>
    <w:rsid w:val="001C08E1"/>
    <w:rsid w:val="001C0F5F"/>
    <w:rsid w:val="001C4E07"/>
    <w:rsid w:val="001D0D0E"/>
    <w:rsid w:val="001D206F"/>
    <w:rsid w:val="001D2F43"/>
    <w:rsid w:val="001D301D"/>
    <w:rsid w:val="001D3366"/>
    <w:rsid w:val="001D35B4"/>
    <w:rsid w:val="001D4D00"/>
    <w:rsid w:val="001D7CD8"/>
    <w:rsid w:val="001E0BB5"/>
    <w:rsid w:val="001E149A"/>
    <w:rsid w:val="001E1B8A"/>
    <w:rsid w:val="001E287B"/>
    <w:rsid w:val="001E3909"/>
    <w:rsid w:val="001E46D4"/>
    <w:rsid w:val="001E47B2"/>
    <w:rsid w:val="001E538C"/>
    <w:rsid w:val="001F234B"/>
    <w:rsid w:val="001F39EA"/>
    <w:rsid w:val="001F4A7F"/>
    <w:rsid w:val="001F6D78"/>
    <w:rsid w:val="002016CB"/>
    <w:rsid w:val="00202D8A"/>
    <w:rsid w:val="00203B30"/>
    <w:rsid w:val="00213E28"/>
    <w:rsid w:val="00213F0C"/>
    <w:rsid w:val="002162BF"/>
    <w:rsid w:val="00216DA8"/>
    <w:rsid w:val="0022373D"/>
    <w:rsid w:val="002237A3"/>
    <w:rsid w:val="00223DD8"/>
    <w:rsid w:val="0022400B"/>
    <w:rsid w:val="00224661"/>
    <w:rsid w:val="002263E0"/>
    <w:rsid w:val="002268F1"/>
    <w:rsid w:val="00232C7F"/>
    <w:rsid w:val="00233514"/>
    <w:rsid w:val="00233AF2"/>
    <w:rsid w:val="00233B43"/>
    <w:rsid w:val="00233D02"/>
    <w:rsid w:val="00233E2A"/>
    <w:rsid w:val="00233ED1"/>
    <w:rsid w:val="00233F60"/>
    <w:rsid w:val="002349C1"/>
    <w:rsid w:val="00234AAC"/>
    <w:rsid w:val="00235870"/>
    <w:rsid w:val="00235DA6"/>
    <w:rsid w:val="00240D67"/>
    <w:rsid w:val="00245B02"/>
    <w:rsid w:val="002467C0"/>
    <w:rsid w:val="00247C9B"/>
    <w:rsid w:val="00250B92"/>
    <w:rsid w:val="00252B9B"/>
    <w:rsid w:val="0025471F"/>
    <w:rsid w:val="00261032"/>
    <w:rsid w:val="0026396B"/>
    <w:rsid w:val="00264266"/>
    <w:rsid w:val="00264EC5"/>
    <w:rsid w:val="0026618E"/>
    <w:rsid w:val="00266DB7"/>
    <w:rsid w:val="00271CC8"/>
    <w:rsid w:val="002736B2"/>
    <w:rsid w:val="0027508A"/>
    <w:rsid w:val="00275802"/>
    <w:rsid w:val="00275A34"/>
    <w:rsid w:val="00275A44"/>
    <w:rsid w:val="00281329"/>
    <w:rsid w:val="002841B7"/>
    <w:rsid w:val="00284F10"/>
    <w:rsid w:val="00285E56"/>
    <w:rsid w:val="0028794D"/>
    <w:rsid w:val="00287C4B"/>
    <w:rsid w:val="00290A0E"/>
    <w:rsid w:val="00290EBF"/>
    <w:rsid w:val="00291D06"/>
    <w:rsid w:val="0029201E"/>
    <w:rsid w:val="00292F34"/>
    <w:rsid w:val="00293421"/>
    <w:rsid w:val="00294424"/>
    <w:rsid w:val="002946B3"/>
    <w:rsid w:val="00297040"/>
    <w:rsid w:val="00297C97"/>
    <w:rsid w:val="00297CB2"/>
    <w:rsid w:val="002A077C"/>
    <w:rsid w:val="002A0F76"/>
    <w:rsid w:val="002A13A4"/>
    <w:rsid w:val="002A1FED"/>
    <w:rsid w:val="002A3F3E"/>
    <w:rsid w:val="002A419E"/>
    <w:rsid w:val="002A589C"/>
    <w:rsid w:val="002A64CA"/>
    <w:rsid w:val="002A7E71"/>
    <w:rsid w:val="002B046A"/>
    <w:rsid w:val="002B6217"/>
    <w:rsid w:val="002B6461"/>
    <w:rsid w:val="002B699B"/>
    <w:rsid w:val="002B6E2D"/>
    <w:rsid w:val="002B6E59"/>
    <w:rsid w:val="002C0F92"/>
    <w:rsid w:val="002C1050"/>
    <w:rsid w:val="002C12B1"/>
    <w:rsid w:val="002C350A"/>
    <w:rsid w:val="002C3CA5"/>
    <w:rsid w:val="002C4383"/>
    <w:rsid w:val="002C65FB"/>
    <w:rsid w:val="002D07C0"/>
    <w:rsid w:val="002D17DC"/>
    <w:rsid w:val="002D1898"/>
    <w:rsid w:val="002D40CD"/>
    <w:rsid w:val="002D45FB"/>
    <w:rsid w:val="002D51E5"/>
    <w:rsid w:val="002D5364"/>
    <w:rsid w:val="002D581A"/>
    <w:rsid w:val="002E018B"/>
    <w:rsid w:val="002E19CE"/>
    <w:rsid w:val="002E3ED3"/>
    <w:rsid w:val="002E62B2"/>
    <w:rsid w:val="002E72FE"/>
    <w:rsid w:val="002E79E4"/>
    <w:rsid w:val="002F1625"/>
    <w:rsid w:val="002F3A5C"/>
    <w:rsid w:val="002F3C2F"/>
    <w:rsid w:val="002F45D9"/>
    <w:rsid w:val="002F4D5B"/>
    <w:rsid w:val="002F6FEF"/>
    <w:rsid w:val="00302BA1"/>
    <w:rsid w:val="0030428A"/>
    <w:rsid w:val="00311E53"/>
    <w:rsid w:val="003145EB"/>
    <w:rsid w:val="00321FA3"/>
    <w:rsid w:val="00324E22"/>
    <w:rsid w:val="0032645A"/>
    <w:rsid w:val="00330F82"/>
    <w:rsid w:val="0033101A"/>
    <w:rsid w:val="0033260E"/>
    <w:rsid w:val="00332C71"/>
    <w:rsid w:val="00333287"/>
    <w:rsid w:val="00336588"/>
    <w:rsid w:val="003406B9"/>
    <w:rsid w:val="00341096"/>
    <w:rsid w:val="00341486"/>
    <w:rsid w:val="00341862"/>
    <w:rsid w:val="00345E36"/>
    <w:rsid w:val="0034699E"/>
    <w:rsid w:val="00350060"/>
    <w:rsid w:val="00350309"/>
    <w:rsid w:val="00350BCB"/>
    <w:rsid w:val="00355ADE"/>
    <w:rsid w:val="00356329"/>
    <w:rsid w:val="0035646E"/>
    <w:rsid w:val="0035698F"/>
    <w:rsid w:val="00356C4A"/>
    <w:rsid w:val="00363436"/>
    <w:rsid w:val="00365D6D"/>
    <w:rsid w:val="003674DD"/>
    <w:rsid w:val="00367F90"/>
    <w:rsid w:val="00370A9C"/>
    <w:rsid w:val="00373FCB"/>
    <w:rsid w:val="00380159"/>
    <w:rsid w:val="003811F1"/>
    <w:rsid w:val="003812C2"/>
    <w:rsid w:val="00383302"/>
    <w:rsid w:val="00386040"/>
    <w:rsid w:val="0038649E"/>
    <w:rsid w:val="00391E72"/>
    <w:rsid w:val="003926D4"/>
    <w:rsid w:val="003931CB"/>
    <w:rsid w:val="00394AF7"/>
    <w:rsid w:val="00394C11"/>
    <w:rsid w:val="003958FD"/>
    <w:rsid w:val="003A5202"/>
    <w:rsid w:val="003A670A"/>
    <w:rsid w:val="003A67F5"/>
    <w:rsid w:val="003B3198"/>
    <w:rsid w:val="003B438D"/>
    <w:rsid w:val="003C2C48"/>
    <w:rsid w:val="003C3769"/>
    <w:rsid w:val="003C37F0"/>
    <w:rsid w:val="003C5EC6"/>
    <w:rsid w:val="003D12B5"/>
    <w:rsid w:val="003D1830"/>
    <w:rsid w:val="003D3B86"/>
    <w:rsid w:val="003E0AB4"/>
    <w:rsid w:val="003E1921"/>
    <w:rsid w:val="003E2ECE"/>
    <w:rsid w:val="003E4A71"/>
    <w:rsid w:val="003E7B4A"/>
    <w:rsid w:val="003F1530"/>
    <w:rsid w:val="003F1AF1"/>
    <w:rsid w:val="003F33B4"/>
    <w:rsid w:val="003F3DAB"/>
    <w:rsid w:val="003F60B9"/>
    <w:rsid w:val="003F6A34"/>
    <w:rsid w:val="00400CFB"/>
    <w:rsid w:val="00403051"/>
    <w:rsid w:val="004045F8"/>
    <w:rsid w:val="00404B3A"/>
    <w:rsid w:val="00406633"/>
    <w:rsid w:val="00411987"/>
    <w:rsid w:val="00413171"/>
    <w:rsid w:val="00415E45"/>
    <w:rsid w:val="004178CA"/>
    <w:rsid w:val="00417D30"/>
    <w:rsid w:val="00420F63"/>
    <w:rsid w:val="0042241A"/>
    <w:rsid w:val="00424880"/>
    <w:rsid w:val="00424F90"/>
    <w:rsid w:val="004250DC"/>
    <w:rsid w:val="004257E4"/>
    <w:rsid w:val="00434141"/>
    <w:rsid w:val="00434DD3"/>
    <w:rsid w:val="0043550C"/>
    <w:rsid w:val="004356D5"/>
    <w:rsid w:val="00435BCE"/>
    <w:rsid w:val="0044131E"/>
    <w:rsid w:val="00441F9A"/>
    <w:rsid w:val="00442D6B"/>
    <w:rsid w:val="004434AB"/>
    <w:rsid w:val="00447F78"/>
    <w:rsid w:val="004515AD"/>
    <w:rsid w:val="00454802"/>
    <w:rsid w:val="00462E63"/>
    <w:rsid w:val="00464F12"/>
    <w:rsid w:val="004650DD"/>
    <w:rsid w:val="00465594"/>
    <w:rsid w:val="004669A3"/>
    <w:rsid w:val="004675FD"/>
    <w:rsid w:val="00470D5E"/>
    <w:rsid w:val="00471236"/>
    <w:rsid w:val="00471E57"/>
    <w:rsid w:val="004728CA"/>
    <w:rsid w:val="00474256"/>
    <w:rsid w:val="00477825"/>
    <w:rsid w:val="00480449"/>
    <w:rsid w:val="00481FA3"/>
    <w:rsid w:val="00482549"/>
    <w:rsid w:val="00482E7A"/>
    <w:rsid w:val="00482FE3"/>
    <w:rsid w:val="00485EDC"/>
    <w:rsid w:val="004866BA"/>
    <w:rsid w:val="00491A2B"/>
    <w:rsid w:val="00492D69"/>
    <w:rsid w:val="004A08DC"/>
    <w:rsid w:val="004A0DDD"/>
    <w:rsid w:val="004A177A"/>
    <w:rsid w:val="004A178C"/>
    <w:rsid w:val="004A2404"/>
    <w:rsid w:val="004A46F4"/>
    <w:rsid w:val="004A5A2D"/>
    <w:rsid w:val="004A5B6E"/>
    <w:rsid w:val="004B13A9"/>
    <w:rsid w:val="004B317E"/>
    <w:rsid w:val="004B31D6"/>
    <w:rsid w:val="004B39A7"/>
    <w:rsid w:val="004B4083"/>
    <w:rsid w:val="004B4DAB"/>
    <w:rsid w:val="004B75A3"/>
    <w:rsid w:val="004B7955"/>
    <w:rsid w:val="004C0415"/>
    <w:rsid w:val="004C2516"/>
    <w:rsid w:val="004C3074"/>
    <w:rsid w:val="004C3A3A"/>
    <w:rsid w:val="004C5B69"/>
    <w:rsid w:val="004D0667"/>
    <w:rsid w:val="004D0D8E"/>
    <w:rsid w:val="004D396E"/>
    <w:rsid w:val="004D406B"/>
    <w:rsid w:val="004D78D4"/>
    <w:rsid w:val="004E16FA"/>
    <w:rsid w:val="004E277C"/>
    <w:rsid w:val="004E3D20"/>
    <w:rsid w:val="004E4976"/>
    <w:rsid w:val="004E6CE8"/>
    <w:rsid w:val="004E776A"/>
    <w:rsid w:val="004F17E5"/>
    <w:rsid w:val="004F2081"/>
    <w:rsid w:val="004F3740"/>
    <w:rsid w:val="004F48B1"/>
    <w:rsid w:val="004F4C11"/>
    <w:rsid w:val="004F5D46"/>
    <w:rsid w:val="004F6365"/>
    <w:rsid w:val="004F7B4B"/>
    <w:rsid w:val="00500741"/>
    <w:rsid w:val="0050533E"/>
    <w:rsid w:val="00505FC3"/>
    <w:rsid w:val="00506068"/>
    <w:rsid w:val="0050668C"/>
    <w:rsid w:val="0050703E"/>
    <w:rsid w:val="005072E1"/>
    <w:rsid w:val="005111AD"/>
    <w:rsid w:val="00517330"/>
    <w:rsid w:val="005215D9"/>
    <w:rsid w:val="0052406B"/>
    <w:rsid w:val="00524D4B"/>
    <w:rsid w:val="00527643"/>
    <w:rsid w:val="00531F6D"/>
    <w:rsid w:val="005337CE"/>
    <w:rsid w:val="00536C41"/>
    <w:rsid w:val="00537172"/>
    <w:rsid w:val="005413AE"/>
    <w:rsid w:val="0054240C"/>
    <w:rsid w:val="00543DF4"/>
    <w:rsid w:val="005452ED"/>
    <w:rsid w:val="00553604"/>
    <w:rsid w:val="00554095"/>
    <w:rsid w:val="00554391"/>
    <w:rsid w:val="0055639A"/>
    <w:rsid w:val="00560335"/>
    <w:rsid w:val="0056082D"/>
    <w:rsid w:val="0056113C"/>
    <w:rsid w:val="005640A5"/>
    <w:rsid w:val="00565B9F"/>
    <w:rsid w:val="005660F7"/>
    <w:rsid w:val="00567763"/>
    <w:rsid w:val="00570E0A"/>
    <w:rsid w:val="005714AB"/>
    <w:rsid w:val="00572231"/>
    <w:rsid w:val="00572C36"/>
    <w:rsid w:val="00572EC6"/>
    <w:rsid w:val="00573390"/>
    <w:rsid w:val="00574471"/>
    <w:rsid w:val="00576C63"/>
    <w:rsid w:val="00577B44"/>
    <w:rsid w:val="0058053E"/>
    <w:rsid w:val="00580F02"/>
    <w:rsid w:val="00581DFE"/>
    <w:rsid w:val="00584674"/>
    <w:rsid w:val="005852E1"/>
    <w:rsid w:val="00586356"/>
    <w:rsid w:val="00586C20"/>
    <w:rsid w:val="005916CA"/>
    <w:rsid w:val="00591F7C"/>
    <w:rsid w:val="0059291D"/>
    <w:rsid w:val="005940CB"/>
    <w:rsid w:val="005A0FB4"/>
    <w:rsid w:val="005A580D"/>
    <w:rsid w:val="005A5C9F"/>
    <w:rsid w:val="005B089D"/>
    <w:rsid w:val="005B406B"/>
    <w:rsid w:val="005B7C71"/>
    <w:rsid w:val="005C0969"/>
    <w:rsid w:val="005C2C27"/>
    <w:rsid w:val="005C4C44"/>
    <w:rsid w:val="005C699D"/>
    <w:rsid w:val="005D3498"/>
    <w:rsid w:val="005D4162"/>
    <w:rsid w:val="005D6800"/>
    <w:rsid w:val="005D73C1"/>
    <w:rsid w:val="005D73FF"/>
    <w:rsid w:val="005E78F6"/>
    <w:rsid w:val="005F28BB"/>
    <w:rsid w:val="005F3A4E"/>
    <w:rsid w:val="005F439A"/>
    <w:rsid w:val="005F5607"/>
    <w:rsid w:val="005F6637"/>
    <w:rsid w:val="005F6802"/>
    <w:rsid w:val="00601C9C"/>
    <w:rsid w:val="00603D41"/>
    <w:rsid w:val="0060438B"/>
    <w:rsid w:val="00604C91"/>
    <w:rsid w:val="006057D4"/>
    <w:rsid w:val="006066BA"/>
    <w:rsid w:val="00610050"/>
    <w:rsid w:val="0061062D"/>
    <w:rsid w:val="00610660"/>
    <w:rsid w:val="00610B98"/>
    <w:rsid w:val="0061133A"/>
    <w:rsid w:val="00611D1D"/>
    <w:rsid w:val="00611EFD"/>
    <w:rsid w:val="006134B1"/>
    <w:rsid w:val="00615A86"/>
    <w:rsid w:val="0061624C"/>
    <w:rsid w:val="0062015D"/>
    <w:rsid w:val="006212BD"/>
    <w:rsid w:val="00621627"/>
    <w:rsid w:val="006220F3"/>
    <w:rsid w:val="0062350D"/>
    <w:rsid w:val="00623612"/>
    <w:rsid w:val="00624169"/>
    <w:rsid w:val="00626F89"/>
    <w:rsid w:val="006279AB"/>
    <w:rsid w:val="00630612"/>
    <w:rsid w:val="00631B1B"/>
    <w:rsid w:val="0063343A"/>
    <w:rsid w:val="00633F07"/>
    <w:rsid w:val="006372EA"/>
    <w:rsid w:val="006379DA"/>
    <w:rsid w:val="006408F9"/>
    <w:rsid w:val="006420FD"/>
    <w:rsid w:val="006434B5"/>
    <w:rsid w:val="00644E65"/>
    <w:rsid w:val="00645455"/>
    <w:rsid w:val="00647348"/>
    <w:rsid w:val="00651F14"/>
    <w:rsid w:val="0065335B"/>
    <w:rsid w:val="006547B8"/>
    <w:rsid w:val="00655335"/>
    <w:rsid w:val="00655AE1"/>
    <w:rsid w:val="00655C48"/>
    <w:rsid w:val="006561DA"/>
    <w:rsid w:val="00663A46"/>
    <w:rsid w:val="0066519D"/>
    <w:rsid w:val="0066570A"/>
    <w:rsid w:val="0066785E"/>
    <w:rsid w:val="00675E88"/>
    <w:rsid w:val="0068003C"/>
    <w:rsid w:val="006812E3"/>
    <w:rsid w:val="00683111"/>
    <w:rsid w:val="0068541A"/>
    <w:rsid w:val="006913B6"/>
    <w:rsid w:val="006976DC"/>
    <w:rsid w:val="00697E8F"/>
    <w:rsid w:val="006A25B5"/>
    <w:rsid w:val="006A4C9E"/>
    <w:rsid w:val="006A56E5"/>
    <w:rsid w:val="006A64B0"/>
    <w:rsid w:val="006B1750"/>
    <w:rsid w:val="006B214E"/>
    <w:rsid w:val="006B2DC2"/>
    <w:rsid w:val="006B2E02"/>
    <w:rsid w:val="006B4BA1"/>
    <w:rsid w:val="006B57A4"/>
    <w:rsid w:val="006B5C33"/>
    <w:rsid w:val="006C14B0"/>
    <w:rsid w:val="006C1738"/>
    <w:rsid w:val="006C1E7D"/>
    <w:rsid w:val="006C205E"/>
    <w:rsid w:val="006C4DC5"/>
    <w:rsid w:val="006C664F"/>
    <w:rsid w:val="006C7504"/>
    <w:rsid w:val="006C7C3A"/>
    <w:rsid w:val="006D0F34"/>
    <w:rsid w:val="006D199F"/>
    <w:rsid w:val="006D2812"/>
    <w:rsid w:val="006D2A3D"/>
    <w:rsid w:val="006D3296"/>
    <w:rsid w:val="006D3F66"/>
    <w:rsid w:val="006D4430"/>
    <w:rsid w:val="006D606C"/>
    <w:rsid w:val="006E108A"/>
    <w:rsid w:val="006E60F4"/>
    <w:rsid w:val="006E6B26"/>
    <w:rsid w:val="006E7FA4"/>
    <w:rsid w:val="006F1878"/>
    <w:rsid w:val="006F3403"/>
    <w:rsid w:val="006F38D6"/>
    <w:rsid w:val="006F3D00"/>
    <w:rsid w:val="006F76DD"/>
    <w:rsid w:val="006F7B24"/>
    <w:rsid w:val="0070000B"/>
    <w:rsid w:val="00707997"/>
    <w:rsid w:val="007100F2"/>
    <w:rsid w:val="00712464"/>
    <w:rsid w:val="00713D01"/>
    <w:rsid w:val="00720258"/>
    <w:rsid w:val="00720D55"/>
    <w:rsid w:val="00721C5C"/>
    <w:rsid w:val="00724A6F"/>
    <w:rsid w:val="00725B10"/>
    <w:rsid w:val="007309D0"/>
    <w:rsid w:val="00730EA9"/>
    <w:rsid w:val="007325F2"/>
    <w:rsid w:val="00733774"/>
    <w:rsid w:val="00733E5E"/>
    <w:rsid w:val="007340AE"/>
    <w:rsid w:val="007347A8"/>
    <w:rsid w:val="00734967"/>
    <w:rsid w:val="00735849"/>
    <w:rsid w:val="00735E4E"/>
    <w:rsid w:val="007375C0"/>
    <w:rsid w:val="00737B1E"/>
    <w:rsid w:val="00737DA5"/>
    <w:rsid w:val="00740504"/>
    <w:rsid w:val="007414CE"/>
    <w:rsid w:val="007428BA"/>
    <w:rsid w:val="00745C78"/>
    <w:rsid w:val="00745E6F"/>
    <w:rsid w:val="007463AE"/>
    <w:rsid w:val="00747964"/>
    <w:rsid w:val="00750621"/>
    <w:rsid w:val="0075157A"/>
    <w:rsid w:val="00751A6D"/>
    <w:rsid w:val="00754681"/>
    <w:rsid w:val="00754EAE"/>
    <w:rsid w:val="0075523A"/>
    <w:rsid w:val="007577FD"/>
    <w:rsid w:val="00762B2B"/>
    <w:rsid w:val="00762F3E"/>
    <w:rsid w:val="0076351F"/>
    <w:rsid w:val="00766763"/>
    <w:rsid w:val="007711BE"/>
    <w:rsid w:val="00772FFB"/>
    <w:rsid w:val="00774F25"/>
    <w:rsid w:val="00774F4E"/>
    <w:rsid w:val="00775332"/>
    <w:rsid w:val="00777B54"/>
    <w:rsid w:val="00780BD5"/>
    <w:rsid w:val="0078116F"/>
    <w:rsid w:val="00782D4E"/>
    <w:rsid w:val="0078393F"/>
    <w:rsid w:val="00785B5F"/>
    <w:rsid w:val="00786439"/>
    <w:rsid w:val="00791D09"/>
    <w:rsid w:val="00791E81"/>
    <w:rsid w:val="00792368"/>
    <w:rsid w:val="00792E2B"/>
    <w:rsid w:val="00792F87"/>
    <w:rsid w:val="00793255"/>
    <w:rsid w:val="00797D32"/>
    <w:rsid w:val="007A07A5"/>
    <w:rsid w:val="007A33AB"/>
    <w:rsid w:val="007A51FA"/>
    <w:rsid w:val="007A5F56"/>
    <w:rsid w:val="007A6F8F"/>
    <w:rsid w:val="007B1FD4"/>
    <w:rsid w:val="007B2A0A"/>
    <w:rsid w:val="007C05E9"/>
    <w:rsid w:val="007C0F12"/>
    <w:rsid w:val="007C1331"/>
    <w:rsid w:val="007C2FBC"/>
    <w:rsid w:val="007C34FD"/>
    <w:rsid w:val="007C40B5"/>
    <w:rsid w:val="007D0A78"/>
    <w:rsid w:val="007D1F55"/>
    <w:rsid w:val="007D2362"/>
    <w:rsid w:val="007D3CDD"/>
    <w:rsid w:val="007D6ABC"/>
    <w:rsid w:val="007D6E8A"/>
    <w:rsid w:val="007E099D"/>
    <w:rsid w:val="007E1F55"/>
    <w:rsid w:val="007E6810"/>
    <w:rsid w:val="007E7204"/>
    <w:rsid w:val="007F1C69"/>
    <w:rsid w:val="007F22FB"/>
    <w:rsid w:val="007F368E"/>
    <w:rsid w:val="007F4DE2"/>
    <w:rsid w:val="007F6623"/>
    <w:rsid w:val="007F7AE4"/>
    <w:rsid w:val="00810AC3"/>
    <w:rsid w:val="008110F2"/>
    <w:rsid w:val="00813804"/>
    <w:rsid w:val="0081436B"/>
    <w:rsid w:val="008144AD"/>
    <w:rsid w:val="00816045"/>
    <w:rsid w:val="0081644F"/>
    <w:rsid w:val="00817CF7"/>
    <w:rsid w:val="00821265"/>
    <w:rsid w:val="00822197"/>
    <w:rsid w:val="00823932"/>
    <w:rsid w:val="00825201"/>
    <w:rsid w:val="00826DAC"/>
    <w:rsid w:val="00827B32"/>
    <w:rsid w:val="00830341"/>
    <w:rsid w:val="00830D7D"/>
    <w:rsid w:val="008321D0"/>
    <w:rsid w:val="008342DD"/>
    <w:rsid w:val="008348C7"/>
    <w:rsid w:val="008349D9"/>
    <w:rsid w:val="00834F72"/>
    <w:rsid w:val="00835537"/>
    <w:rsid w:val="00836A68"/>
    <w:rsid w:val="00837398"/>
    <w:rsid w:val="0083745A"/>
    <w:rsid w:val="0084118A"/>
    <w:rsid w:val="008423C2"/>
    <w:rsid w:val="00842FDC"/>
    <w:rsid w:val="00842FFF"/>
    <w:rsid w:val="0084536D"/>
    <w:rsid w:val="008511FE"/>
    <w:rsid w:val="00854F5D"/>
    <w:rsid w:val="00855679"/>
    <w:rsid w:val="00855AB3"/>
    <w:rsid w:val="00855B29"/>
    <w:rsid w:val="00855B4F"/>
    <w:rsid w:val="00857FAB"/>
    <w:rsid w:val="0086024E"/>
    <w:rsid w:val="0086036A"/>
    <w:rsid w:val="008658E5"/>
    <w:rsid w:val="00866502"/>
    <w:rsid w:val="00867039"/>
    <w:rsid w:val="0086757C"/>
    <w:rsid w:val="0087066C"/>
    <w:rsid w:val="00871422"/>
    <w:rsid w:val="00871456"/>
    <w:rsid w:val="008732ED"/>
    <w:rsid w:val="00874ED7"/>
    <w:rsid w:val="008755A2"/>
    <w:rsid w:val="00880A86"/>
    <w:rsid w:val="00880E70"/>
    <w:rsid w:val="008828A1"/>
    <w:rsid w:val="008851EE"/>
    <w:rsid w:val="00885512"/>
    <w:rsid w:val="00885693"/>
    <w:rsid w:val="00890362"/>
    <w:rsid w:val="00892132"/>
    <w:rsid w:val="008934CD"/>
    <w:rsid w:val="008935AF"/>
    <w:rsid w:val="00895940"/>
    <w:rsid w:val="00896A1E"/>
    <w:rsid w:val="00896DA7"/>
    <w:rsid w:val="00896E86"/>
    <w:rsid w:val="008A000C"/>
    <w:rsid w:val="008A088C"/>
    <w:rsid w:val="008A16E1"/>
    <w:rsid w:val="008A1BD1"/>
    <w:rsid w:val="008A2BD7"/>
    <w:rsid w:val="008A32FC"/>
    <w:rsid w:val="008A382B"/>
    <w:rsid w:val="008A410D"/>
    <w:rsid w:val="008A495E"/>
    <w:rsid w:val="008A6C82"/>
    <w:rsid w:val="008A72A7"/>
    <w:rsid w:val="008B1D4D"/>
    <w:rsid w:val="008B30CC"/>
    <w:rsid w:val="008B33DC"/>
    <w:rsid w:val="008B4A7D"/>
    <w:rsid w:val="008B5211"/>
    <w:rsid w:val="008B5551"/>
    <w:rsid w:val="008B5A6F"/>
    <w:rsid w:val="008C0B4B"/>
    <w:rsid w:val="008C0C63"/>
    <w:rsid w:val="008C3DB9"/>
    <w:rsid w:val="008C7251"/>
    <w:rsid w:val="008C72C8"/>
    <w:rsid w:val="008C7722"/>
    <w:rsid w:val="008D407F"/>
    <w:rsid w:val="008D582C"/>
    <w:rsid w:val="008D69AF"/>
    <w:rsid w:val="008D74E0"/>
    <w:rsid w:val="008E1AAD"/>
    <w:rsid w:val="008E51DD"/>
    <w:rsid w:val="008E6B52"/>
    <w:rsid w:val="008E7F13"/>
    <w:rsid w:val="008F1797"/>
    <w:rsid w:val="008F2D95"/>
    <w:rsid w:val="008F2EA4"/>
    <w:rsid w:val="008F3954"/>
    <w:rsid w:val="008F4596"/>
    <w:rsid w:val="008F55EC"/>
    <w:rsid w:val="008F759B"/>
    <w:rsid w:val="008F7DFE"/>
    <w:rsid w:val="008F7F0C"/>
    <w:rsid w:val="00900ADE"/>
    <w:rsid w:val="00904CF2"/>
    <w:rsid w:val="009058B0"/>
    <w:rsid w:val="00910921"/>
    <w:rsid w:val="00911377"/>
    <w:rsid w:val="00912A6F"/>
    <w:rsid w:val="009148C7"/>
    <w:rsid w:val="009148CF"/>
    <w:rsid w:val="0091784B"/>
    <w:rsid w:val="0092115A"/>
    <w:rsid w:val="00921618"/>
    <w:rsid w:val="00922D2E"/>
    <w:rsid w:val="00925207"/>
    <w:rsid w:val="00925616"/>
    <w:rsid w:val="00925807"/>
    <w:rsid w:val="00926CFD"/>
    <w:rsid w:val="00932725"/>
    <w:rsid w:val="00932B80"/>
    <w:rsid w:val="00933488"/>
    <w:rsid w:val="00933B09"/>
    <w:rsid w:val="00935CA4"/>
    <w:rsid w:val="0094073F"/>
    <w:rsid w:val="00941009"/>
    <w:rsid w:val="0094355E"/>
    <w:rsid w:val="0094368A"/>
    <w:rsid w:val="0094443E"/>
    <w:rsid w:val="00946298"/>
    <w:rsid w:val="00947246"/>
    <w:rsid w:val="00947402"/>
    <w:rsid w:val="00947F41"/>
    <w:rsid w:val="00951656"/>
    <w:rsid w:val="00952334"/>
    <w:rsid w:val="00952EF8"/>
    <w:rsid w:val="00953383"/>
    <w:rsid w:val="0095372D"/>
    <w:rsid w:val="00953AC4"/>
    <w:rsid w:val="00955550"/>
    <w:rsid w:val="00955D53"/>
    <w:rsid w:val="0095683B"/>
    <w:rsid w:val="00956947"/>
    <w:rsid w:val="00957943"/>
    <w:rsid w:val="00960C0C"/>
    <w:rsid w:val="00962783"/>
    <w:rsid w:val="00963556"/>
    <w:rsid w:val="009700DA"/>
    <w:rsid w:val="00970AE9"/>
    <w:rsid w:val="009710D4"/>
    <w:rsid w:val="009740D1"/>
    <w:rsid w:val="00974A61"/>
    <w:rsid w:val="00975FDE"/>
    <w:rsid w:val="00981DC0"/>
    <w:rsid w:val="009824D7"/>
    <w:rsid w:val="009835DF"/>
    <w:rsid w:val="009902CA"/>
    <w:rsid w:val="0099086F"/>
    <w:rsid w:val="00993DBA"/>
    <w:rsid w:val="00994329"/>
    <w:rsid w:val="009952EB"/>
    <w:rsid w:val="00997288"/>
    <w:rsid w:val="009A125C"/>
    <w:rsid w:val="009A168B"/>
    <w:rsid w:val="009A24B5"/>
    <w:rsid w:val="009A3715"/>
    <w:rsid w:val="009A3B55"/>
    <w:rsid w:val="009A45EF"/>
    <w:rsid w:val="009A5CEE"/>
    <w:rsid w:val="009A632E"/>
    <w:rsid w:val="009A79AB"/>
    <w:rsid w:val="009B1572"/>
    <w:rsid w:val="009B40B9"/>
    <w:rsid w:val="009B507A"/>
    <w:rsid w:val="009B5437"/>
    <w:rsid w:val="009C00BA"/>
    <w:rsid w:val="009C2C9A"/>
    <w:rsid w:val="009C62A0"/>
    <w:rsid w:val="009C7415"/>
    <w:rsid w:val="009D1781"/>
    <w:rsid w:val="009D199F"/>
    <w:rsid w:val="009D1A4B"/>
    <w:rsid w:val="009D1C32"/>
    <w:rsid w:val="009D23EA"/>
    <w:rsid w:val="009D2524"/>
    <w:rsid w:val="009D277B"/>
    <w:rsid w:val="009D29E6"/>
    <w:rsid w:val="009D420A"/>
    <w:rsid w:val="009D446F"/>
    <w:rsid w:val="009D4E29"/>
    <w:rsid w:val="009D5C70"/>
    <w:rsid w:val="009E04CB"/>
    <w:rsid w:val="009E4038"/>
    <w:rsid w:val="009E4AFE"/>
    <w:rsid w:val="009E6944"/>
    <w:rsid w:val="009E71B4"/>
    <w:rsid w:val="009F0E96"/>
    <w:rsid w:val="009F5CBE"/>
    <w:rsid w:val="00A0199E"/>
    <w:rsid w:val="00A02392"/>
    <w:rsid w:val="00A02EBE"/>
    <w:rsid w:val="00A0790B"/>
    <w:rsid w:val="00A11D24"/>
    <w:rsid w:val="00A126EF"/>
    <w:rsid w:val="00A137F7"/>
    <w:rsid w:val="00A14E76"/>
    <w:rsid w:val="00A17DDA"/>
    <w:rsid w:val="00A22A0E"/>
    <w:rsid w:val="00A22A98"/>
    <w:rsid w:val="00A269E1"/>
    <w:rsid w:val="00A273FC"/>
    <w:rsid w:val="00A27472"/>
    <w:rsid w:val="00A300C8"/>
    <w:rsid w:val="00A31EA3"/>
    <w:rsid w:val="00A33C50"/>
    <w:rsid w:val="00A34925"/>
    <w:rsid w:val="00A35E31"/>
    <w:rsid w:val="00A3697E"/>
    <w:rsid w:val="00A4011C"/>
    <w:rsid w:val="00A409E1"/>
    <w:rsid w:val="00A4152B"/>
    <w:rsid w:val="00A42670"/>
    <w:rsid w:val="00A44A80"/>
    <w:rsid w:val="00A45546"/>
    <w:rsid w:val="00A4614D"/>
    <w:rsid w:val="00A468F6"/>
    <w:rsid w:val="00A47F25"/>
    <w:rsid w:val="00A50CFF"/>
    <w:rsid w:val="00A522B1"/>
    <w:rsid w:val="00A52E85"/>
    <w:rsid w:val="00A5581A"/>
    <w:rsid w:val="00A566A9"/>
    <w:rsid w:val="00A574FD"/>
    <w:rsid w:val="00A57517"/>
    <w:rsid w:val="00A575F7"/>
    <w:rsid w:val="00A615E9"/>
    <w:rsid w:val="00A618A3"/>
    <w:rsid w:val="00A6229F"/>
    <w:rsid w:val="00A629A2"/>
    <w:rsid w:val="00A63310"/>
    <w:rsid w:val="00A642C0"/>
    <w:rsid w:val="00A65966"/>
    <w:rsid w:val="00A6772E"/>
    <w:rsid w:val="00A70E0E"/>
    <w:rsid w:val="00A70E5E"/>
    <w:rsid w:val="00A71A6C"/>
    <w:rsid w:val="00A73619"/>
    <w:rsid w:val="00A74473"/>
    <w:rsid w:val="00A77217"/>
    <w:rsid w:val="00A77344"/>
    <w:rsid w:val="00A8058C"/>
    <w:rsid w:val="00A80C7F"/>
    <w:rsid w:val="00A80F63"/>
    <w:rsid w:val="00A80FD8"/>
    <w:rsid w:val="00A81A7F"/>
    <w:rsid w:val="00A8492A"/>
    <w:rsid w:val="00A87C56"/>
    <w:rsid w:val="00A94F1C"/>
    <w:rsid w:val="00A959CB"/>
    <w:rsid w:val="00A9653D"/>
    <w:rsid w:val="00AA0CE2"/>
    <w:rsid w:val="00AA16A1"/>
    <w:rsid w:val="00AA2948"/>
    <w:rsid w:val="00AA2955"/>
    <w:rsid w:val="00AA6081"/>
    <w:rsid w:val="00AA6FBA"/>
    <w:rsid w:val="00AB089C"/>
    <w:rsid w:val="00AB14F6"/>
    <w:rsid w:val="00AB5314"/>
    <w:rsid w:val="00AB5860"/>
    <w:rsid w:val="00AB59D2"/>
    <w:rsid w:val="00AB69C4"/>
    <w:rsid w:val="00AB6FDE"/>
    <w:rsid w:val="00AC069D"/>
    <w:rsid w:val="00AC489B"/>
    <w:rsid w:val="00AC4A4E"/>
    <w:rsid w:val="00AC4F86"/>
    <w:rsid w:val="00AC5FE9"/>
    <w:rsid w:val="00AC6B71"/>
    <w:rsid w:val="00AC74BC"/>
    <w:rsid w:val="00AC75A0"/>
    <w:rsid w:val="00AD0F31"/>
    <w:rsid w:val="00AD4A40"/>
    <w:rsid w:val="00AD58E1"/>
    <w:rsid w:val="00AD5B07"/>
    <w:rsid w:val="00AD62D6"/>
    <w:rsid w:val="00AE0EBF"/>
    <w:rsid w:val="00AE116C"/>
    <w:rsid w:val="00AE2A09"/>
    <w:rsid w:val="00AE2D0B"/>
    <w:rsid w:val="00AE4617"/>
    <w:rsid w:val="00AE5876"/>
    <w:rsid w:val="00AE5FD4"/>
    <w:rsid w:val="00AE6DC0"/>
    <w:rsid w:val="00AE7A71"/>
    <w:rsid w:val="00AF1E27"/>
    <w:rsid w:val="00AF314A"/>
    <w:rsid w:val="00AF40DE"/>
    <w:rsid w:val="00AF5B52"/>
    <w:rsid w:val="00AF60F8"/>
    <w:rsid w:val="00AF67E9"/>
    <w:rsid w:val="00AF7CFE"/>
    <w:rsid w:val="00B01218"/>
    <w:rsid w:val="00B01377"/>
    <w:rsid w:val="00B0154C"/>
    <w:rsid w:val="00B03A2C"/>
    <w:rsid w:val="00B046AC"/>
    <w:rsid w:val="00B0724F"/>
    <w:rsid w:val="00B104AD"/>
    <w:rsid w:val="00B105B2"/>
    <w:rsid w:val="00B11326"/>
    <w:rsid w:val="00B17619"/>
    <w:rsid w:val="00B2103B"/>
    <w:rsid w:val="00B217E6"/>
    <w:rsid w:val="00B21915"/>
    <w:rsid w:val="00B21A44"/>
    <w:rsid w:val="00B24677"/>
    <w:rsid w:val="00B275E2"/>
    <w:rsid w:val="00B30DA3"/>
    <w:rsid w:val="00B31CF0"/>
    <w:rsid w:val="00B334A0"/>
    <w:rsid w:val="00B33FF6"/>
    <w:rsid w:val="00B3430F"/>
    <w:rsid w:val="00B3612A"/>
    <w:rsid w:val="00B4451D"/>
    <w:rsid w:val="00B45290"/>
    <w:rsid w:val="00B4603E"/>
    <w:rsid w:val="00B461F9"/>
    <w:rsid w:val="00B474A6"/>
    <w:rsid w:val="00B50100"/>
    <w:rsid w:val="00B50357"/>
    <w:rsid w:val="00B50D26"/>
    <w:rsid w:val="00B51442"/>
    <w:rsid w:val="00B52903"/>
    <w:rsid w:val="00B52917"/>
    <w:rsid w:val="00B5565B"/>
    <w:rsid w:val="00B55B0F"/>
    <w:rsid w:val="00B56BD3"/>
    <w:rsid w:val="00B5776C"/>
    <w:rsid w:val="00B57F9D"/>
    <w:rsid w:val="00B60AAF"/>
    <w:rsid w:val="00B61374"/>
    <w:rsid w:val="00B61999"/>
    <w:rsid w:val="00B630C8"/>
    <w:rsid w:val="00B64180"/>
    <w:rsid w:val="00B6476A"/>
    <w:rsid w:val="00B64E84"/>
    <w:rsid w:val="00B65006"/>
    <w:rsid w:val="00B663C7"/>
    <w:rsid w:val="00B665F8"/>
    <w:rsid w:val="00B70FF7"/>
    <w:rsid w:val="00B75E69"/>
    <w:rsid w:val="00B7606B"/>
    <w:rsid w:val="00B7637F"/>
    <w:rsid w:val="00B8019C"/>
    <w:rsid w:val="00B85746"/>
    <w:rsid w:val="00B873F4"/>
    <w:rsid w:val="00B87747"/>
    <w:rsid w:val="00B909A0"/>
    <w:rsid w:val="00B915F5"/>
    <w:rsid w:val="00B925E1"/>
    <w:rsid w:val="00B92C53"/>
    <w:rsid w:val="00B9652A"/>
    <w:rsid w:val="00B967C3"/>
    <w:rsid w:val="00BA2DA0"/>
    <w:rsid w:val="00BA462F"/>
    <w:rsid w:val="00BA4B5B"/>
    <w:rsid w:val="00BA677C"/>
    <w:rsid w:val="00BA6CF1"/>
    <w:rsid w:val="00BA70CF"/>
    <w:rsid w:val="00BA7FCA"/>
    <w:rsid w:val="00BB0351"/>
    <w:rsid w:val="00BB0B2F"/>
    <w:rsid w:val="00BB3011"/>
    <w:rsid w:val="00BB3C36"/>
    <w:rsid w:val="00BB4E4A"/>
    <w:rsid w:val="00BB615E"/>
    <w:rsid w:val="00BB75ED"/>
    <w:rsid w:val="00BB7704"/>
    <w:rsid w:val="00BC07D6"/>
    <w:rsid w:val="00BC12BF"/>
    <w:rsid w:val="00BC2726"/>
    <w:rsid w:val="00BC6C81"/>
    <w:rsid w:val="00BC7A41"/>
    <w:rsid w:val="00BD0B26"/>
    <w:rsid w:val="00BD1B28"/>
    <w:rsid w:val="00BD1C4A"/>
    <w:rsid w:val="00BD2539"/>
    <w:rsid w:val="00BD3CE0"/>
    <w:rsid w:val="00BD3E5A"/>
    <w:rsid w:val="00BD58E0"/>
    <w:rsid w:val="00BE020D"/>
    <w:rsid w:val="00BE12D0"/>
    <w:rsid w:val="00BE3FE5"/>
    <w:rsid w:val="00BE6528"/>
    <w:rsid w:val="00BE7B29"/>
    <w:rsid w:val="00BF16DC"/>
    <w:rsid w:val="00BF241B"/>
    <w:rsid w:val="00BF37CC"/>
    <w:rsid w:val="00BF3A3D"/>
    <w:rsid w:val="00BF41BE"/>
    <w:rsid w:val="00BF493C"/>
    <w:rsid w:val="00BF4B79"/>
    <w:rsid w:val="00BF5C3F"/>
    <w:rsid w:val="00BF7303"/>
    <w:rsid w:val="00C00411"/>
    <w:rsid w:val="00C0055F"/>
    <w:rsid w:val="00C01A24"/>
    <w:rsid w:val="00C02B50"/>
    <w:rsid w:val="00C04B97"/>
    <w:rsid w:val="00C073C3"/>
    <w:rsid w:val="00C07CEF"/>
    <w:rsid w:val="00C10068"/>
    <w:rsid w:val="00C111AA"/>
    <w:rsid w:val="00C11EAD"/>
    <w:rsid w:val="00C15BCA"/>
    <w:rsid w:val="00C15F9C"/>
    <w:rsid w:val="00C1690E"/>
    <w:rsid w:val="00C202CD"/>
    <w:rsid w:val="00C21031"/>
    <w:rsid w:val="00C22458"/>
    <w:rsid w:val="00C22F81"/>
    <w:rsid w:val="00C23C28"/>
    <w:rsid w:val="00C243C2"/>
    <w:rsid w:val="00C24FFD"/>
    <w:rsid w:val="00C3082B"/>
    <w:rsid w:val="00C30A5A"/>
    <w:rsid w:val="00C32A30"/>
    <w:rsid w:val="00C33BCE"/>
    <w:rsid w:val="00C35378"/>
    <w:rsid w:val="00C358F2"/>
    <w:rsid w:val="00C35BD1"/>
    <w:rsid w:val="00C40491"/>
    <w:rsid w:val="00C412D5"/>
    <w:rsid w:val="00C41EE4"/>
    <w:rsid w:val="00C4203D"/>
    <w:rsid w:val="00C51C80"/>
    <w:rsid w:val="00C521FE"/>
    <w:rsid w:val="00C52A58"/>
    <w:rsid w:val="00C547FC"/>
    <w:rsid w:val="00C54D4A"/>
    <w:rsid w:val="00C55E77"/>
    <w:rsid w:val="00C55EDC"/>
    <w:rsid w:val="00C6070B"/>
    <w:rsid w:val="00C61F8B"/>
    <w:rsid w:val="00C62C0F"/>
    <w:rsid w:val="00C645B2"/>
    <w:rsid w:val="00C64803"/>
    <w:rsid w:val="00C677A8"/>
    <w:rsid w:val="00C678A8"/>
    <w:rsid w:val="00C7205A"/>
    <w:rsid w:val="00C7206C"/>
    <w:rsid w:val="00C7239C"/>
    <w:rsid w:val="00C7368D"/>
    <w:rsid w:val="00C77212"/>
    <w:rsid w:val="00C80A91"/>
    <w:rsid w:val="00C846BA"/>
    <w:rsid w:val="00C86305"/>
    <w:rsid w:val="00C87E27"/>
    <w:rsid w:val="00C92A2A"/>
    <w:rsid w:val="00C92A37"/>
    <w:rsid w:val="00C938A1"/>
    <w:rsid w:val="00C95753"/>
    <w:rsid w:val="00CA0120"/>
    <w:rsid w:val="00CA222C"/>
    <w:rsid w:val="00CA75BF"/>
    <w:rsid w:val="00CB108B"/>
    <w:rsid w:val="00CB3008"/>
    <w:rsid w:val="00CB368C"/>
    <w:rsid w:val="00CB620E"/>
    <w:rsid w:val="00CB634B"/>
    <w:rsid w:val="00CB6AFF"/>
    <w:rsid w:val="00CB6F4B"/>
    <w:rsid w:val="00CB7982"/>
    <w:rsid w:val="00CB7EB4"/>
    <w:rsid w:val="00CC0680"/>
    <w:rsid w:val="00CC15D3"/>
    <w:rsid w:val="00CC3234"/>
    <w:rsid w:val="00CC6333"/>
    <w:rsid w:val="00CD2F2E"/>
    <w:rsid w:val="00CD3927"/>
    <w:rsid w:val="00CD6CBC"/>
    <w:rsid w:val="00CE1494"/>
    <w:rsid w:val="00CE7495"/>
    <w:rsid w:val="00CF5525"/>
    <w:rsid w:val="00CF6D9C"/>
    <w:rsid w:val="00D00FED"/>
    <w:rsid w:val="00D02265"/>
    <w:rsid w:val="00D0226A"/>
    <w:rsid w:val="00D03B36"/>
    <w:rsid w:val="00D05201"/>
    <w:rsid w:val="00D05B7E"/>
    <w:rsid w:val="00D06184"/>
    <w:rsid w:val="00D0697A"/>
    <w:rsid w:val="00D07AF4"/>
    <w:rsid w:val="00D10CEE"/>
    <w:rsid w:val="00D11CB2"/>
    <w:rsid w:val="00D12024"/>
    <w:rsid w:val="00D12806"/>
    <w:rsid w:val="00D1306E"/>
    <w:rsid w:val="00D1411B"/>
    <w:rsid w:val="00D20338"/>
    <w:rsid w:val="00D20349"/>
    <w:rsid w:val="00D223FE"/>
    <w:rsid w:val="00D22B1C"/>
    <w:rsid w:val="00D22B6F"/>
    <w:rsid w:val="00D24C59"/>
    <w:rsid w:val="00D25C87"/>
    <w:rsid w:val="00D268EA"/>
    <w:rsid w:val="00D26DC0"/>
    <w:rsid w:val="00D27BF3"/>
    <w:rsid w:val="00D3160C"/>
    <w:rsid w:val="00D3259E"/>
    <w:rsid w:val="00D33813"/>
    <w:rsid w:val="00D33A5D"/>
    <w:rsid w:val="00D33FB3"/>
    <w:rsid w:val="00D34447"/>
    <w:rsid w:val="00D34D19"/>
    <w:rsid w:val="00D40FAA"/>
    <w:rsid w:val="00D413F4"/>
    <w:rsid w:val="00D439F3"/>
    <w:rsid w:val="00D46CB8"/>
    <w:rsid w:val="00D46F57"/>
    <w:rsid w:val="00D479BD"/>
    <w:rsid w:val="00D47A2E"/>
    <w:rsid w:val="00D52436"/>
    <w:rsid w:val="00D549BD"/>
    <w:rsid w:val="00D54ECA"/>
    <w:rsid w:val="00D55283"/>
    <w:rsid w:val="00D565F6"/>
    <w:rsid w:val="00D64B17"/>
    <w:rsid w:val="00D705A5"/>
    <w:rsid w:val="00D70F75"/>
    <w:rsid w:val="00D75F08"/>
    <w:rsid w:val="00D77972"/>
    <w:rsid w:val="00D80128"/>
    <w:rsid w:val="00D801E5"/>
    <w:rsid w:val="00D80A11"/>
    <w:rsid w:val="00D80F08"/>
    <w:rsid w:val="00D81C86"/>
    <w:rsid w:val="00D81D2D"/>
    <w:rsid w:val="00D85B37"/>
    <w:rsid w:val="00D8613A"/>
    <w:rsid w:val="00D875D4"/>
    <w:rsid w:val="00D90BE4"/>
    <w:rsid w:val="00D935EE"/>
    <w:rsid w:val="00D936B3"/>
    <w:rsid w:val="00D95FDE"/>
    <w:rsid w:val="00D9696C"/>
    <w:rsid w:val="00DA3BF8"/>
    <w:rsid w:val="00DA5AC4"/>
    <w:rsid w:val="00DA5E76"/>
    <w:rsid w:val="00DB14D8"/>
    <w:rsid w:val="00DB3755"/>
    <w:rsid w:val="00DB3906"/>
    <w:rsid w:val="00DB43A4"/>
    <w:rsid w:val="00DB43BE"/>
    <w:rsid w:val="00DB52B9"/>
    <w:rsid w:val="00DB76E5"/>
    <w:rsid w:val="00DB79FC"/>
    <w:rsid w:val="00DC0878"/>
    <w:rsid w:val="00DC5335"/>
    <w:rsid w:val="00DC552F"/>
    <w:rsid w:val="00DC65AA"/>
    <w:rsid w:val="00DD32A4"/>
    <w:rsid w:val="00DD4339"/>
    <w:rsid w:val="00DD4D62"/>
    <w:rsid w:val="00DD5457"/>
    <w:rsid w:val="00DD5C9F"/>
    <w:rsid w:val="00DD5DE8"/>
    <w:rsid w:val="00DD7209"/>
    <w:rsid w:val="00DE0406"/>
    <w:rsid w:val="00DE0560"/>
    <w:rsid w:val="00DE07C2"/>
    <w:rsid w:val="00DE37B2"/>
    <w:rsid w:val="00DE56EF"/>
    <w:rsid w:val="00DE58B0"/>
    <w:rsid w:val="00DE5DCD"/>
    <w:rsid w:val="00DE6B61"/>
    <w:rsid w:val="00DE7287"/>
    <w:rsid w:val="00DF1125"/>
    <w:rsid w:val="00DF33CC"/>
    <w:rsid w:val="00DF477A"/>
    <w:rsid w:val="00DF4913"/>
    <w:rsid w:val="00DF598A"/>
    <w:rsid w:val="00E0123C"/>
    <w:rsid w:val="00E03051"/>
    <w:rsid w:val="00E03557"/>
    <w:rsid w:val="00E05B94"/>
    <w:rsid w:val="00E05DF1"/>
    <w:rsid w:val="00E06E4F"/>
    <w:rsid w:val="00E07E84"/>
    <w:rsid w:val="00E11C17"/>
    <w:rsid w:val="00E122D8"/>
    <w:rsid w:val="00E1299D"/>
    <w:rsid w:val="00E12BB1"/>
    <w:rsid w:val="00E13E70"/>
    <w:rsid w:val="00E14DA8"/>
    <w:rsid w:val="00E14F3E"/>
    <w:rsid w:val="00E25C95"/>
    <w:rsid w:val="00E278F9"/>
    <w:rsid w:val="00E27D3D"/>
    <w:rsid w:val="00E3068F"/>
    <w:rsid w:val="00E31A63"/>
    <w:rsid w:val="00E31D2E"/>
    <w:rsid w:val="00E33481"/>
    <w:rsid w:val="00E34292"/>
    <w:rsid w:val="00E36AC7"/>
    <w:rsid w:val="00E37862"/>
    <w:rsid w:val="00E41055"/>
    <w:rsid w:val="00E418B8"/>
    <w:rsid w:val="00E422DE"/>
    <w:rsid w:val="00E42490"/>
    <w:rsid w:val="00E44B8D"/>
    <w:rsid w:val="00E50DC8"/>
    <w:rsid w:val="00E51186"/>
    <w:rsid w:val="00E541CB"/>
    <w:rsid w:val="00E543BF"/>
    <w:rsid w:val="00E55550"/>
    <w:rsid w:val="00E55CB9"/>
    <w:rsid w:val="00E56F0E"/>
    <w:rsid w:val="00E60BC5"/>
    <w:rsid w:val="00E60D54"/>
    <w:rsid w:val="00E62352"/>
    <w:rsid w:val="00E624D4"/>
    <w:rsid w:val="00E62E83"/>
    <w:rsid w:val="00E63220"/>
    <w:rsid w:val="00E6328A"/>
    <w:rsid w:val="00E6331F"/>
    <w:rsid w:val="00E64C2C"/>
    <w:rsid w:val="00E71A17"/>
    <w:rsid w:val="00E7213D"/>
    <w:rsid w:val="00E759E3"/>
    <w:rsid w:val="00E7653D"/>
    <w:rsid w:val="00E776B0"/>
    <w:rsid w:val="00E801E8"/>
    <w:rsid w:val="00E820D8"/>
    <w:rsid w:val="00E86FF7"/>
    <w:rsid w:val="00E95D90"/>
    <w:rsid w:val="00E96DA9"/>
    <w:rsid w:val="00E97989"/>
    <w:rsid w:val="00EA0A55"/>
    <w:rsid w:val="00EA3911"/>
    <w:rsid w:val="00EA58B1"/>
    <w:rsid w:val="00EA7F00"/>
    <w:rsid w:val="00EB0731"/>
    <w:rsid w:val="00EB1433"/>
    <w:rsid w:val="00EB29DF"/>
    <w:rsid w:val="00EB31B9"/>
    <w:rsid w:val="00EB67AB"/>
    <w:rsid w:val="00EB7DD9"/>
    <w:rsid w:val="00EC24C6"/>
    <w:rsid w:val="00EC2C39"/>
    <w:rsid w:val="00EC45B5"/>
    <w:rsid w:val="00EC6C71"/>
    <w:rsid w:val="00ED0BF8"/>
    <w:rsid w:val="00ED3143"/>
    <w:rsid w:val="00ED3F9A"/>
    <w:rsid w:val="00ED46DD"/>
    <w:rsid w:val="00ED6A89"/>
    <w:rsid w:val="00ED6AB5"/>
    <w:rsid w:val="00ED6CC0"/>
    <w:rsid w:val="00EE1324"/>
    <w:rsid w:val="00EE1EEF"/>
    <w:rsid w:val="00EE2E50"/>
    <w:rsid w:val="00EE31F5"/>
    <w:rsid w:val="00EE451A"/>
    <w:rsid w:val="00EF12CE"/>
    <w:rsid w:val="00EF1587"/>
    <w:rsid w:val="00EF1681"/>
    <w:rsid w:val="00EF40EE"/>
    <w:rsid w:val="00EF5CE9"/>
    <w:rsid w:val="00EF63DF"/>
    <w:rsid w:val="00EF78D3"/>
    <w:rsid w:val="00EF7E00"/>
    <w:rsid w:val="00F02A66"/>
    <w:rsid w:val="00F0393C"/>
    <w:rsid w:val="00F03F91"/>
    <w:rsid w:val="00F146EB"/>
    <w:rsid w:val="00F23B43"/>
    <w:rsid w:val="00F23FEE"/>
    <w:rsid w:val="00F25735"/>
    <w:rsid w:val="00F25ADB"/>
    <w:rsid w:val="00F2690B"/>
    <w:rsid w:val="00F30088"/>
    <w:rsid w:val="00F31084"/>
    <w:rsid w:val="00F31228"/>
    <w:rsid w:val="00F31AF4"/>
    <w:rsid w:val="00F32302"/>
    <w:rsid w:val="00F3728F"/>
    <w:rsid w:val="00F43ABB"/>
    <w:rsid w:val="00F449ED"/>
    <w:rsid w:val="00F45026"/>
    <w:rsid w:val="00F45629"/>
    <w:rsid w:val="00F45F9A"/>
    <w:rsid w:val="00F47741"/>
    <w:rsid w:val="00F47B34"/>
    <w:rsid w:val="00F47F8C"/>
    <w:rsid w:val="00F504E6"/>
    <w:rsid w:val="00F528A1"/>
    <w:rsid w:val="00F5330D"/>
    <w:rsid w:val="00F54592"/>
    <w:rsid w:val="00F55BF2"/>
    <w:rsid w:val="00F5611B"/>
    <w:rsid w:val="00F601B1"/>
    <w:rsid w:val="00F61B3F"/>
    <w:rsid w:val="00F62A1F"/>
    <w:rsid w:val="00F705A9"/>
    <w:rsid w:val="00F72FC0"/>
    <w:rsid w:val="00F73EA2"/>
    <w:rsid w:val="00F74931"/>
    <w:rsid w:val="00F75838"/>
    <w:rsid w:val="00F75AA3"/>
    <w:rsid w:val="00F76975"/>
    <w:rsid w:val="00F83E29"/>
    <w:rsid w:val="00F8483A"/>
    <w:rsid w:val="00F852EC"/>
    <w:rsid w:val="00F87203"/>
    <w:rsid w:val="00F92076"/>
    <w:rsid w:val="00F92815"/>
    <w:rsid w:val="00F92E36"/>
    <w:rsid w:val="00F951E2"/>
    <w:rsid w:val="00F95954"/>
    <w:rsid w:val="00F967F3"/>
    <w:rsid w:val="00FA0516"/>
    <w:rsid w:val="00FA679D"/>
    <w:rsid w:val="00FB0768"/>
    <w:rsid w:val="00FB4EA9"/>
    <w:rsid w:val="00FB5931"/>
    <w:rsid w:val="00FB5D41"/>
    <w:rsid w:val="00FB673B"/>
    <w:rsid w:val="00FB7A34"/>
    <w:rsid w:val="00FC0704"/>
    <w:rsid w:val="00FC4AE9"/>
    <w:rsid w:val="00FC50E3"/>
    <w:rsid w:val="00FC6D82"/>
    <w:rsid w:val="00FD00C3"/>
    <w:rsid w:val="00FD1438"/>
    <w:rsid w:val="00FD153C"/>
    <w:rsid w:val="00FD1599"/>
    <w:rsid w:val="00FD1C1D"/>
    <w:rsid w:val="00FD32BD"/>
    <w:rsid w:val="00FD3A56"/>
    <w:rsid w:val="00FD4E26"/>
    <w:rsid w:val="00FD715D"/>
    <w:rsid w:val="00FD749F"/>
    <w:rsid w:val="00FD78CB"/>
    <w:rsid w:val="00FE0B3F"/>
    <w:rsid w:val="00FE5DD8"/>
    <w:rsid w:val="00FE694D"/>
    <w:rsid w:val="00FE6A09"/>
    <w:rsid w:val="00FE71FA"/>
    <w:rsid w:val="00FF0C0D"/>
    <w:rsid w:val="00FF1402"/>
    <w:rsid w:val="00FF413F"/>
    <w:rsid w:val="00FF5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w Cen MT" w:hAnsi="Tw Cen MT"/>
      <w:sz w:val="22"/>
      <w:szCs w:val="22"/>
    </w:rPr>
  </w:style>
  <w:style w:type="paragraph" w:styleId="Heading2">
    <w:name w:val="heading 2"/>
    <w:basedOn w:val="Normal"/>
    <w:next w:val="Normal"/>
    <w:link w:val="Heading2Char"/>
    <w:unhideWhenUsed/>
    <w:qFormat/>
    <w:rsid w:val="007A5F56"/>
    <w:pPr>
      <w:keepNext/>
      <w:keepLines/>
      <w:spacing w:before="200"/>
      <w:outlineLvl w:val="1"/>
    </w:pPr>
    <w:rPr>
      <w:rFonts w:ascii="Cambria" w:hAnsi="Cambria"/>
      <w:b/>
      <w:bCs/>
      <w:color w:val="4F81BD"/>
      <w:sz w:val="26"/>
      <w:szCs w:val="26"/>
      <w:lang w:val="x-none" w:eastAsia="x-none"/>
    </w:rPr>
  </w:style>
  <w:style w:type="paragraph" w:styleId="Heading3">
    <w:name w:val="heading 3"/>
    <w:basedOn w:val="Normal"/>
    <w:next w:val="Normal"/>
    <w:link w:val="Heading3Char"/>
    <w:unhideWhenUsed/>
    <w:qFormat/>
    <w:rsid w:val="007A5F56"/>
    <w:pPr>
      <w:keepNext/>
      <w:keepLines/>
      <w:spacing w:before="200"/>
      <w:outlineLvl w:val="2"/>
    </w:pPr>
    <w:rPr>
      <w:rFonts w:ascii="Cambria" w:hAnsi="Cambria"/>
      <w:b/>
      <w:bCs/>
      <w:color w:val="4F81BD"/>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96E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E06E4F"/>
    <w:rPr>
      <w:sz w:val="16"/>
      <w:szCs w:val="16"/>
    </w:rPr>
  </w:style>
  <w:style w:type="paragraph" w:styleId="CommentText">
    <w:name w:val="annotation text"/>
    <w:basedOn w:val="Normal"/>
    <w:link w:val="CommentTextChar"/>
    <w:rsid w:val="00E06E4F"/>
    <w:rPr>
      <w:sz w:val="20"/>
      <w:szCs w:val="20"/>
      <w:lang w:val="x-none" w:eastAsia="x-none"/>
    </w:rPr>
  </w:style>
  <w:style w:type="character" w:customStyle="1" w:styleId="CommentTextChar">
    <w:name w:val="Comment Text Char"/>
    <w:link w:val="CommentText"/>
    <w:rsid w:val="00E06E4F"/>
    <w:rPr>
      <w:rFonts w:ascii="Tw Cen MT" w:hAnsi="Tw Cen MT"/>
    </w:rPr>
  </w:style>
  <w:style w:type="paragraph" w:styleId="CommentSubject">
    <w:name w:val="annotation subject"/>
    <w:basedOn w:val="CommentText"/>
    <w:next w:val="CommentText"/>
    <w:link w:val="CommentSubjectChar"/>
    <w:rsid w:val="00E06E4F"/>
    <w:rPr>
      <w:b/>
      <w:bCs/>
    </w:rPr>
  </w:style>
  <w:style w:type="character" w:customStyle="1" w:styleId="CommentSubjectChar">
    <w:name w:val="Comment Subject Char"/>
    <w:link w:val="CommentSubject"/>
    <w:rsid w:val="00E06E4F"/>
    <w:rPr>
      <w:rFonts w:ascii="Tw Cen MT" w:hAnsi="Tw Cen MT"/>
      <w:b/>
      <w:bCs/>
    </w:rPr>
  </w:style>
  <w:style w:type="paragraph" w:styleId="BalloonText">
    <w:name w:val="Balloon Text"/>
    <w:basedOn w:val="Normal"/>
    <w:link w:val="BalloonTextChar"/>
    <w:rsid w:val="00E06E4F"/>
    <w:rPr>
      <w:rFonts w:ascii="Tahoma" w:hAnsi="Tahoma"/>
      <w:sz w:val="16"/>
      <w:szCs w:val="16"/>
      <w:lang w:val="x-none" w:eastAsia="x-none"/>
    </w:rPr>
  </w:style>
  <w:style w:type="character" w:customStyle="1" w:styleId="BalloonTextChar">
    <w:name w:val="Balloon Text Char"/>
    <w:link w:val="BalloonText"/>
    <w:rsid w:val="00E06E4F"/>
    <w:rPr>
      <w:rFonts w:ascii="Tahoma" w:hAnsi="Tahoma" w:cs="Tahoma"/>
      <w:sz w:val="16"/>
      <w:szCs w:val="16"/>
    </w:rPr>
  </w:style>
  <w:style w:type="paragraph" w:styleId="FootnoteText">
    <w:name w:val="footnote text"/>
    <w:basedOn w:val="Normal"/>
    <w:link w:val="FootnoteTextChar"/>
    <w:rsid w:val="00C3082B"/>
    <w:rPr>
      <w:rFonts w:ascii="Times New Roman" w:hAnsi="Times New Roman"/>
      <w:sz w:val="20"/>
      <w:szCs w:val="20"/>
    </w:rPr>
  </w:style>
  <w:style w:type="character" w:customStyle="1" w:styleId="FootnoteTextChar">
    <w:name w:val="Footnote Text Char"/>
    <w:basedOn w:val="DefaultParagraphFont"/>
    <w:link w:val="FootnoteText"/>
    <w:rsid w:val="00C3082B"/>
  </w:style>
  <w:style w:type="character" w:styleId="FootnoteReference">
    <w:name w:val="footnote reference"/>
    <w:rsid w:val="00C3082B"/>
    <w:rPr>
      <w:vertAlign w:val="superscript"/>
    </w:rPr>
  </w:style>
  <w:style w:type="character" w:customStyle="1" w:styleId="Heading2Char">
    <w:name w:val="Heading 2 Char"/>
    <w:link w:val="Heading2"/>
    <w:rsid w:val="007A5F56"/>
    <w:rPr>
      <w:rFonts w:ascii="Cambria" w:hAnsi="Cambria"/>
      <w:b/>
      <w:bCs/>
      <w:color w:val="4F81BD"/>
      <w:sz w:val="26"/>
      <w:szCs w:val="26"/>
    </w:rPr>
  </w:style>
  <w:style w:type="character" w:customStyle="1" w:styleId="Heading3Char">
    <w:name w:val="Heading 3 Char"/>
    <w:link w:val="Heading3"/>
    <w:rsid w:val="007A5F56"/>
    <w:rPr>
      <w:rFonts w:ascii="Cambria" w:hAnsi="Cambria"/>
      <w:b/>
      <w:bCs/>
      <w:color w:val="4F81BD"/>
      <w:sz w:val="24"/>
      <w:szCs w:val="24"/>
    </w:rPr>
  </w:style>
  <w:style w:type="paragraph" w:styleId="ListParagraph">
    <w:name w:val="List Paragraph"/>
    <w:basedOn w:val="Normal"/>
    <w:uiPriority w:val="34"/>
    <w:qFormat/>
    <w:rsid w:val="007A5F56"/>
    <w:pPr>
      <w:ind w:left="720"/>
      <w:contextualSpacing/>
    </w:pPr>
    <w:rPr>
      <w:rFonts w:ascii="Times New Roman" w:hAnsi="Times New Roman"/>
      <w:sz w:val="24"/>
      <w:szCs w:val="24"/>
    </w:rPr>
  </w:style>
  <w:style w:type="paragraph" w:styleId="Revision">
    <w:name w:val="Revision"/>
    <w:hidden/>
    <w:uiPriority w:val="99"/>
    <w:semiHidden/>
    <w:rsid w:val="00394C11"/>
    <w:rPr>
      <w:rFonts w:ascii="Tw Cen MT" w:hAnsi="Tw Cen MT"/>
      <w:sz w:val="22"/>
      <w:szCs w:val="22"/>
    </w:rPr>
  </w:style>
  <w:style w:type="paragraph" w:styleId="Header">
    <w:name w:val="header"/>
    <w:basedOn w:val="Normal"/>
    <w:link w:val="HeaderChar"/>
    <w:rsid w:val="00EB31B9"/>
    <w:pPr>
      <w:tabs>
        <w:tab w:val="center" w:pos="4680"/>
        <w:tab w:val="right" w:pos="9360"/>
      </w:tabs>
    </w:pPr>
    <w:rPr>
      <w:lang w:val="x-none" w:eastAsia="x-none"/>
    </w:rPr>
  </w:style>
  <w:style w:type="character" w:customStyle="1" w:styleId="HeaderChar">
    <w:name w:val="Header Char"/>
    <w:link w:val="Header"/>
    <w:rsid w:val="00EB31B9"/>
    <w:rPr>
      <w:rFonts w:ascii="Tw Cen MT" w:hAnsi="Tw Cen MT"/>
      <w:sz w:val="22"/>
      <w:szCs w:val="22"/>
    </w:rPr>
  </w:style>
  <w:style w:type="paragraph" w:styleId="Footer">
    <w:name w:val="footer"/>
    <w:basedOn w:val="Normal"/>
    <w:link w:val="FooterChar"/>
    <w:uiPriority w:val="99"/>
    <w:rsid w:val="00EB31B9"/>
    <w:pPr>
      <w:tabs>
        <w:tab w:val="center" w:pos="4680"/>
        <w:tab w:val="right" w:pos="9360"/>
      </w:tabs>
    </w:pPr>
    <w:rPr>
      <w:lang w:val="x-none" w:eastAsia="x-none"/>
    </w:rPr>
  </w:style>
  <w:style w:type="character" w:customStyle="1" w:styleId="FooterChar">
    <w:name w:val="Footer Char"/>
    <w:link w:val="Footer"/>
    <w:uiPriority w:val="99"/>
    <w:rsid w:val="00EB31B9"/>
    <w:rPr>
      <w:rFonts w:ascii="Tw Cen MT" w:hAnsi="Tw Cen MT"/>
      <w:sz w:val="22"/>
      <w:szCs w:val="22"/>
    </w:rPr>
  </w:style>
  <w:style w:type="paragraph" w:styleId="EndnoteText">
    <w:name w:val="endnote text"/>
    <w:basedOn w:val="Normal"/>
    <w:link w:val="EndnoteTextChar"/>
    <w:rsid w:val="008C7722"/>
    <w:rPr>
      <w:sz w:val="20"/>
      <w:szCs w:val="20"/>
    </w:rPr>
  </w:style>
  <w:style w:type="character" w:customStyle="1" w:styleId="EndnoteTextChar">
    <w:name w:val="Endnote Text Char"/>
    <w:link w:val="EndnoteText"/>
    <w:rsid w:val="008C7722"/>
    <w:rPr>
      <w:rFonts w:ascii="Tw Cen MT" w:hAnsi="Tw Cen MT"/>
    </w:rPr>
  </w:style>
  <w:style w:type="character" w:styleId="EndnoteReference">
    <w:name w:val="endnote reference"/>
    <w:rsid w:val="008C7722"/>
    <w:rPr>
      <w:vertAlign w:val="superscript"/>
    </w:rPr>
  </w:style>
  <w:style w:type="paragraph" w:styleId="NormalWeb">
    <w:name w:val="Normal (Web)"/>
    <w:basedOn w:val="Normal"/>
    <w:uiPriority w:val="99"/>
    <w:unhideWhenUsed/>
    <w:rsid w:val="00577B44"/>
    <w:pPr>
      <w:spacing w:before="100" w:beforeAutospacing="1" w:after="100" w:afterAutospacing="1"/>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w Cen MT" w:hAnsi="Tw Cen MT"/>
      <w:sz w:val="22"/>
      <w:szCs w:val="22"/>
    </w:rPr>
  </w:style>
  <w:style w:type="paragraph" w:styleId="Heading2">
    <w:name w:val="heading 2"/>
    <w:basedOn w:val="Normal"/>
    <w:next w:val="Normal"/>
    <w:link w:val="Heading2Char"/>
    <w:unhideWhenUsed/>
    <w:qFormat/>
    <w:rsid w:val="007A5F56"/>
    <w:pPr>
      <w:keepNext/>
      <w:keepLines/>
      <w:spacing w:before="200"/>
      <w:outlineLvl w:val="1"/>
    </w:pPr>
    <w:rPr>
      <w:rFonts w:ascii="Cambria" w:hAnsi="Cambria"/>
      <w:b/>
      <w:bCs/>
      <w:color w:val="4F81BD"/>
      <w:sz w:val="26"/>
      <w:szCs w:val="26"/>
      <w:lang w:val="x-none" w:eastAsia="x-none"/>
    </w:rPr>
  </w:style>
  <w:style w:type="paragraph" w:styleId="Heading3">
    <w:name w:val="heading 3"/>
    <w:basedOn w:val="Normal"/>
    <w:next w:val="Normal"/>
    <w:link w:val="Heading3Char"/>
    <w:unhideWhenUsed/>
    <w:qFormat/>
    <w:rsid w:val="007A5F56"/>
    <w:pPr>
      <w:keepNext/>
      <w:keepLines/>
      <w:spacing w:before="200"/>
      <w:outlineLvl w:val="2"/>
    </w:pPr>
    <w:rPr>
      <w:rFonts w:ascii="Cambria" w:hAnsi="Cambria"/>
      <w:b/>
      <w:bCs/>
      <w:color w:val="4F81BD"/>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96E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E06E4F"/>
    <w:rPr>
      <w:sz w:val="16"/>
      <w:szCs w:val="16"/>
    </w:rPr>
  </w:style>
  <w:style w:type="paragraph" w:styleId="CommentText">
    <w:name w:val="annotation text"/>
    <w:basedOn w:val="Normal"/>
    <w:link w:val="CommentTextChar"/>
    <w:rsid w:val="00E06E4F"/>
    <w:rPr>
      <w:sz w:val="20"/>
      <w:szCs w:val="20"/>
      <w:lang w:val="x-none" w:eastAsia="x-none"/>
    </w:rPr>
  </w:style>
  <w:style w:type="character" w:customStyle="1" w:styleId="CommentTextChar">
    <w:name w:val="Comment Text Char"/>
    <w:link w:val="CommentText"/>
    <w:rsid w:val="00E06E4F"/>
    <w:rPr>
      <w:rFonts w:ascii="Tw Cen MT" w:hAnsi="Tw Cen MT"/>
    </w:rPr>
  </w:style>
  <w:style w:type="paragraph" w:styleId="CommentSubject">
    <w:name w:val="annotation subject"/>
    <w:basedOn w:val="CommentText"/>
    <w:next w:val="CommentText"/>
    <w:link w:val="CommentSubjectChar"/>
    <w:rsid w:val="00E06E4F"/>
    <w:rPr>
      <w:b/>
      <w:bCs/>
    </w:rPr>
  </w:style>
  <w:style w:type="character" w:customStyle="1" w:styleId="CommentSubjectChar">
    <w:name w:val="Comment Subject Char"/>
    <w:link w:val="CommentSubject"/>
    <w:rsid w:val="00E06E4F"/>
    <w:rPr>
      <w:rFonts w:ascii="Tw Cen MT" w:hAnsi="Tw Cen MT"/>
      <w:b/>
      <w:bCs/>
    </w:rPr>
  </w:style>
  <w:style w:type="paragraph" w:styleId="BalloonText">
    <w:name w:val="Balloon Text"/>
    <w:basedOn w:val="Normal"/>
    <w:link w:val="BalloonTextChar"/>
    <w:rsid w:val="00E06E4F"/>
    <w:rPr>
      <w:rFonts w:ascii="Tahoma" w:hAnsi="Tahoma"/>
      <w:sz w:val="16"/>
      <w:szCs w:val="16"/>
      <w:lang w:val="x-none" w:eastAsia="x-none"/>
    </w:rPr>
  </w:style>
  <w:style w:type="character" w:customStyle="1" w:styleId="BalloonTextChar">
    <w:name w:val="Balloon Text Char"/>
    <w:link w:val="BalloonText"/>
    <w:rsid w:val="00E06E4F"/>
    <w:rPr>
      <w:rFonts w:ascii="Tahoma" w:hAnsi="Tahoma" w:cs="Tahoma"/>
      <w:sz w:val="16"/>
      <w:szCs w:val="16"/>
    </w:rPr>
  </w:style>
  <w:style w:type="paragraph" w:styleId="FootnoteText">
    <w:name w:val="footnote text"/>
    <w:basedOn w:val="Normal"/>
    <w:link w:val="FootnoteTextChar"/>
    <w:rsid w:val="00C3082B"/>
    <w:rPr>
      <w:rFonts w:ascii="Times New Roman" w:hAnsi="Times New Roman"/>
      <w:sz w:val="20"/>
      <w:szCs w:val="20"/>
    </w:rPr>
  </w:style>
  <w:style w:type="character" w:customStyle="1" w:styleId="FootnoteTextChar">
    <w:name w:val="Footnote Text Char"/>
    <w:basedOn w:val="DefaultParagraphFont"/>
    <w:link w:val="FootnoteText"/>
    <w:rsid w:val="00C3082B"/>
  </w:style>
  <w:style w:type="character" w:styleId="FootnoteReference">
    <w:name w:val="footnote reference"/>
    <w:rsid w:val="00C3082B"/>
    <w:rPr>
      <w:vertAlign w:val="superscript"/>
    </w:rPr>
  </w:style>
  <w:style w:type="character" w:customStyle="1" w:styleId="Heading2Char">
    <w:name w:val="Heading 2 Char"/>
    <w:link w:val="Heading2"/>
    <w:rsid w:val="007A5F56"/>
    <w:rPr>
      <w:rFonts w:ascii="Cambria" w:hAnsi="Cambria"/>
      <w:b/>
      <w:bCs/>
      <w:color w:val="4F81BD"/>
      <w:sz w:val="26"/>
      <w:szCs w:val="26"/>
    </w:rPr>
  </w:style>
  <w:style w:type="character" w:customStyle="1" w:styleId="Heading3Char">
    <w:name w:val="Heading 3 Char"/>
    <w:link w:val="Heading3"/>
    <w:rsid w:val="007A5F56"/>
    <w:rPr>
      <w:rFonts w:ascii="Cambria" w:hAnsi="Cambria"/>
      <w:b/>
      <w:bCs/>
      <w:color w:val="4F81BD"/>
      <w:sz w:val="24"/>
      <w:szCs w:val="24"/>
    </w:rPr>
  </w:style>
  <w:style w:type="paragraph" w:styleId="ListParagraph">
    <w:name w:val="List Paragraph"/>
    <w:basedOn w:val="Normal"/>
    <w:uiPriority w:val="34"/>
    <w:qFormat/>
    <w:rsid w:val="007A5F56"/>
    <w:pPr>
      <w:ind w:left="720"/>
      <w:contextualSpacing/>
    </w:pPr>
    <w:rPr>
      <w:rFonts w:ascii="Times New Roman" w:hAnsi="Times New Roman"/>
      <w:sz w:val="24"/>
      <w:szCs w:val="24"/>
    </w:rPr>
  </w:style>
  <w:style w:type="paragraph" w:styleId="Revision">
    <w:name w:val="Revision"/>
    <w:hidden/>
    <w:uiPriority w:val="99"/>
    <w:semiHidden/>
    <w:rsid w:val="00394C11"/>
    <w:rPr>
      <w:rFonts w:ascii="Tw Cen MT" w:hAnsi="Tw Cen MT"/>
      <w:sz w:val="22"/>
      <w:szCs w:val="22"/>
    </w:rPr>
  </w:style>
  <w:style w:type="paragraph" w:styleId="Header">
    <w:name w:val="header"/>
    <w:basedOn w:val="Normal"/>
    <w:link w:val="HeaderChar"/>
    <w:rsid w:val="00EB31B9"/>
    <w:pPr>
      <w:tabs>
        <w:tab w:val="center" w:pos="4680"/>
        <w:tab w:val="right" w:pos="9360"/>
      </w:tabs>
    </w:pPr>
    <w:rPr>
      <w:lang w:val="x-none" w:eastAsia="x-none"/>
    </w:rPr>
  </w:style>
  <w:style w:type="character" w:customStyle="1" w:styleId="HeaderChar">
    <w:name w:val="Header Char"/>
    <w:link w:val="Header"/>
    <w:rsid w:val="00EB31B9"/>
    <w:rPr>
      <w:rFonts w:ascii="Tw Cen MT" w:hAnsi="Tw Cen MT"/>
      <w:sz w:val="22"/>
      <w:szCs w:val="22"/>
    </w:rPr>
  </w:style>
  <w:style w:type="paragraph" w:styleId="Footer">
    <w:name w:val="footer"/>
    <w:basedOn w:val="Normal"/>
    <w:link w:val="FooterChar"/>
    <w:uiPriority w:val="99"/>
    <w:rsid w:val="00EB31B9"/>
    <w:pPr>
      <w:tabs>
        <w:tab w:val="center" w:pos="4680"/>
        <w:tab w:val="right" w:pos="9360"/>
      </w:tabs>
    </w:pPr>
    <w:rPr>
      <w:lang w:val="x-none" w:eastAsia="x-none"/>
    </w:rPr>
  </w:style>
  <w:style w:type="character" w:customStyle="1" w:styleId="FooterChar">
    <w:name w:val="Footer Char"/>
    <w:link w:val="Footer"/>
    <w:uiPriority w:val="99"/>
    <w:rsid w:val="00EB31B9"/>
    <w:rPr>
      <w:rFonts w:ascii="Tw Cen MT" w:hAnsi="Tw Cen MT"/>
      <w:sz w:val="22"/>
      <w:szCs w:val="22"/>
    </w:rPr>
  </w:style>
  <w:style w:type="paragraph" w:styleId="EndnoteText">
    <w:name w:val="endnote text"/>
    <w:basedOn w:val="Normal"/>
    <w:link w:val="EndnoteTextChar"/>
    <w:rsid w:val="008C7722"/>
    <w:rPr>
      <w:sz w:val="20"/>
      <w:szCs w:val="20"/>
    </w:rPr>
  </w:style>
  <w:style w:type="character" w:customStyle="1" w:styleId="EndnoteTextChar">
    <w:name w:val="Endnote Text Char"/>
    <w:link w:val="EndnoteText"/>
    <w:rsid w:val="008C7722"/>
    <w:rPr>
      <w:rFonts w:ascii="Tw Cen MT" w:hAnsi="Tw Cen MT"/>
    </w:rPr>
  </w:style>
  <w:style w:type="character" w:styleId="EndnoteReference">
    <w:name w:val="endnote reference"/>
    <w:rsid w:val="008C7722"/>
    <w:rPr>
      <w:vertAlign w:val="superscript"/>
    </w:rPr>
  </w:style>
  <w:style w:type="paragraph" w:styleId="NormalWeb">
    <w:name w:val="Normal (Web)"/>
    <w:basedOn w:val="Normal"/>
    <w:uiPriority w:val="99"/>
    <w:unhideWhenUsed/>
    <w:rsid w:val="00577B44"/>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72904">
      <w:bodyDiv w:val="1"/>
      <w:marLeft w:val="0"/>
      <w:marRight w:val="0"/>
      <w:marTop w:val="0"/>
      <w:marBottom w:val="0"/>
      <w:divBdr>
        <w:top w:val="none" w:sz="0" w:space="0" w:color="auto"/>
        <w:left w:val="none" w:sz="0" w:space="0" w:color="auto"/>
        <w:bottom w:val="none" w:sz="0" w:space="0" w:color="auto"/>
        <w:right w:val="none" w:sz="0" w:space="0" w:color="auto"/>
      </w:divBdr>
    </w:div>
    <w:div w:id="388382630">
      <w:bodyDiv w:val="1"/>
      <w:marLeft w:val="0"/>
      <w:marRight w:val="0"/>
      <w:marTop w:val="0"/>
      <w:marBottom w:val="0"/>
      <w:divBdr>
        <w:top w:val="none" w:sz="0" w:space="0" w:color="auto"/>
        <w:left w:val="none" w:sz="0" w:space="0" w:color="auto"/>
        <w:bottom w:val="none" w:sz="0" w:space="0" w:color="auto"/>
        <w:right w:val="none" w:sz="0" w:space="0" w:color="auto"/>
      </w:divBdr>
    </w:div>
    <w:div w:id="817696265">
      <w:bodyDiv w:val="1"/>
      <w:marLeft w:val="0"/>
      <w:marRight w:val="0"/>
      <w:marTop w:val="0"/>
      <w:marBottom w:val="0"/>
      <w:divBdr>
        <w:top w:val="none" w:sz="0" w:space="0" w:color="auto"/>
        <w:left w:val="none" w:sz="0" w:space="0" w:color="auto"/>
        <w:bottom w:val="none" w:sz="0" w:space="0" w:color="auto"/>
        <w:right w:val="none" w:sz="0" w:space="0" w:color="auto"/>
      </w:divBdr>
    </w:div>
    <w:div w:id="1390810947">
      <w:bodyDiv w:val="1"/>
      <w:marLeft w:val="0"/>
      <w:marRight w:val="0"/>
      <w:marTop w:val="0"/>
      <w:marBottom w:val="0"/>
      <w:divBdr>
        <w:top w:val="none" w:sz="0" w:space="0" w:color="auto"/>
        <w:left w:val="none" w:sz="0" w:space="0" w:color="auto"/>
        <w:bottom w:val="none" w:sz="0" w:space="0" w:color="auto"/>
        <w:right w:val="none" w:sz="0" w:space="0" w:color="auto"/>
      </w:divBdr>
    </w:div>
    <w:div w:id="1654941634">
      <w:bodyDiv w:val="1"/>
      <w:marLeft w:val="0"/>
      <w:marRight w:val="0"/>
      <w:marTop w:val="0"/>
      <w:marBottom w:val="0"/>
      <w:divBdr>
        <w:top w:val="none" w:sz="0" w:space="0" w:color="auto"/>
        <w:left w:val="none" w:sz="0" w:space="0" w:color="auto"/>
        <w:bottom w:val="none" w:sz="0" w:space="0" w:color="auto"/>
        <w:right w:val="none" w:sz="0" w:space="0" w:color="auto"/>
      </w:divBdr>
    </w:div>
    <w:div w:id="1879391391">
      <w:bodyDiv w:val="1"/>
      <w:marLeft w:val="0"/>
      <w:marRight w:val="0"/>
      <w:marTop w:val="0"/>
      <w:marBottom w:val="0"/>
      <w:divBdr>
        <w:top w:val="none" w:sz="0" w:space="0" w:color="auto"/>
        <w:left w:val="none" w:sz="0" w:space="0" w:color="auto"/>
        <w:bottom w:val="none" w:sz="0" w:space="0" w:color="auto"/>
        <w:right w:val="none" w:sz="0" w:space="0" w:color="auto"/>
      </w:divBdr>
    </w:div>
    <w:div w:id="2082214438">
      <w:bodyDiv w:val="1"/>
      <w:marLeft w:val="0"/>
      <w:marRight w:val="0"/>
      <w:marTop w:val="0"/>
      <w:marBottom w:val="0"/>
      <w:divBdr>
        <w:top w:val="none" w:sz="0" w:space="0" w:color="auto"/>
        <w:left w:val="none" w:sz="0" w:space="0" w:color="auto"/>
        <w:bottom w:val="none" w:sz="0" w:space="0" w:color="auto"/>
        <w:right w:val="none" w:sz="0" w:space="0" w:color="auto"/>
      </w:divBdr>
    </w:div>
    <w:div w:id="212287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ACD01-72DB-40BD-BC7D-B8EFA7EE8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5921</Words>
  <Characters>33756</Characters>
  <Application>Microsoft Office Word</Application>
  <DocSecurity>4</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2014-10-14T18:26:00Z</dcterms:created>
  <dcterms:modified xsi:type="dcterms:W3CDTF">2014-10-14T18:26:00Z</dcterms:modified>
</cp:coreProperties>
</file>